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70" w:lineRule="auto"/>
        <w:ind w:left="0" w:right="0" w:firstLine="0"/>
        <w:jc w:val="left"/>
        <w:rPr>
          <w:rFonts w:ascii="Helvetica Neue" w:cs="Helvetica Neue" w:eastAsia="Helvetica Neue" w:hAnsi="Helvetica Neue"/>
          <w:b w:val="1"/>
          <w:bCs w:val="1"/>
          <w:smallCaps w:val="1"/>
          <w:color w:val="5b7085"/>
        </w:rPr>
      </w:pPr>
      <w:r>
        <w:rPr>
          <w:rtl w:val="0"/>
        </w:rPr>
      </w:r>
    </w:p>
    <w:p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70" w:lineRule="auto"/>
        <w:ind w:left="0" w:right="0" w:firstLine="0"/>
        <w:jc w:val="left"/>
        <w:rPr>
          <w:rFonts w:ascii="Helvetica Neue" w:cs="Helvetica Neue" w:eastAsia="Helvetica Neue" w:hAnsi="Helvetica Neue"/>
          <w:b w:val="1"/>
          <w:bCs w:val="1"/>
          <w:smallCaps w:val="1"/>
          <w:color w:val="5b7085"/>
        </w:rPr>
      </w:pPr>
      <w:r>
        <w:rPr>
          <w:rtl w:val="0"/>
        </w:rPr>
      </w:r>
    </w:p>
    <w:p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70" w:lineRule="auto"/>
        <w:ind w:left="0" w:right="0" w:firstLine="0"/>
        <w:jc w:val="left"/>
        <w:rPr>
          <w:rFonts w:ascii="Helvetica Neue" w:cs="Helvetica Neue" w:eastAsia="Helvetica Neue" w:hAnsi="Helvetica Neue"/>
          <w:b w:val="1"/>
          <w:bCs w:val="1"/>
          <w:smallCaps w:val="1"/>
          <w:color w:val="5b7085"/>
        </w:rPr>
      </w:pPr>
      <w:r>
        <w:rPr>
          <w:rtl w:val="0"/>
        </w:rPr>
      </w:r>
    </w:p>
    <w:p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70" w:lineRule="auto"/>
        <w:ind w:left="0" w:right="0" w:firstLine="0"/>
        <w:jc w:val="left"/>
        <w:rPr>
          <w:rFonts w:ascii="Helvetica Neue" w:cs="Helvetica Neue" w:eastAsia="Helvetica Neue" w:hAnsi="Helvetica Neue"/>
          <w:b w:val="1"/>
          <w:bCs w:val="1"/>
          <w:smallCaps w:val="1"/>
          <w:color w:val="5b7085"/>
        </w:rPr>
      </w:pPr>
      <w:r>
        <w:rPr>
          <w:rtl w:val="0"/>
        </w:rPr>
      </w:r>
    </w:p>
    <w:p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70" w:lineRule="auto"/>
        <w:ind w:left="0" w:right="0" w:firstLine="0"/>
        <w:jc w:val="left"/>
        <w:rPr>
          <w:rFonts w:ascii="Helvetica Neue" w:cs="Helvetica Neue" w:eastAsia="Helvetica Neue" w:hAnsi="Helvetica Neue"/>
          <w:b w:val="1"/>
          <w:bCs w:val="1"/>
          <w:smallCaps w:val="1"/>
          <w:color w:val="5b7085"/>
        </w:rPr>
      </w:pPr>
      <w:r>
        <w:rPr>
          <w:rtl w:val="0"/>
        </w:rPr>
      </w:r>
    </w:p>
    <w:p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70" w:lineRule="auto"/>
        <w:ind w:left="0" w:right="0" w:firstLine="0"/>
        <w:jc w:val="left"/>
        <w:rPr>
          <w:rFonts w:ascii="Helvetica Neue" w:cs="Helvetica Neue" w:eastAsia="Helvetica Neue" w:hAnsi="Helvetica Neue"/>
          <w:b w:val="1"/>
          <w:bCs w:val="1"/>
          <w:smallCaps w:val="1"/>
          <w:color w:val="5b7085"/>
        </w:rPr>
      </w:pPr>
      <w:r>
        <w:rPr>
          <w:rtl w:val="0"/>
        </w:rPr>
      </w:r>
    </w:p>
    <w:p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70" w:lineRule="auto"/>
        <w:ind w:left="0" w:right="0" w:firstLine="0"/>
        <w:jc w:val="left"/>
        <w:rPr>
          <w:rFonts w:ascii="Helvetica Neue" w:cs="Helvetica Neue" w:eastAsia="Helvetica Neue" w:hAnsi="Helvetica Neue"/>
          <w:b w:val="1"/>
          <w:bCs w:val="1"/>
          <w:smallCaps w:val="1"/>
          <w:color w:val="5b7085"/>
        </w:rPr>
      </w:pPr>
      <w:r>
        <w:rPr>
          <w:rtl w:val="0"/>
        </w:rPr>
      </w:r>
    </w:p>
    <w:p w14:paraId="00000008">
      <w:pPr>
        <w:spacing w:after="0" w:before="0" w:line="20" w:lineRule="auto"/>
        <w:rPr>
          <w:rFonts w:ascii="Helvetica Neue" w:cs="Helvetica Neue" w:eastAsia="Helvetica Neue" w:hAnsi="Helvetica Neue"/>
          <w:color w:val="000000"/>
        </w:rPr>
      </w:pPr>
      <w:r>
        <w:rPr>
          <w:rtl w:val="0"/>
        </w:rPr>
      </w:r>
    </w:p>
    <w:p w14:paraId="00000009">
      <w:pPr>
        <w:pStyle w:val="Title"/>
        <w:spacing w:line="240" w:lineRule="auto"/>
        <w:rPr>
          <w:rFonts w:ascii="Helvetica Neue Light" w:cs="Helvetica Neue Light" w:eastAsia="Helvetica Neue Light" w:hAnsi="Helvetica Neue Light"/>
          <w:b w:val="0"/>
          <w:bCs w:val="0"/>
          <w:color w:val="5b7085"/>
          <w:sz w:val="72"/>
          <w:szCs w:val="72"/>
        </w:rPr>
      </w:pPr>
      <w:r>
        <w:rPr>
          <w:rFonts w:ascii="Helvetica Neue Light" w:cs="Helvetica Neue Light" w:eastAsia="Helvetica Neue Light" w:hAnsi="Helvetica Neue Light"/>
          <w:b w:val="0"/>
          <w:bCs w:val="0"/>
          <w:color w:val="5b7085"/>
          <w:sz w:val="72"/>
          <w:szCs w:val="72"/>
          <w:rtl w:val="0"/>
        </w:rPr>
        <w:t xml:space="preserve">System Name</w:t>
      </w:r>
    </w:p>
    <w:p w14:paraId="0000000A">
      <w:pPr>
        <w:pStyle w:val="Title"/>
        <w:spacing w:line="240" w:lineRule="auto"/>
        <w:rPr>
          <w:rFonts w:ascii="Helvetica Neue" w:cs="Helvetica Neue" w:eastAsia="Helvetica Neue" w:hAnsi="Helvetica Neue"/>
          <w:sz w:val="72"/>
          <w:szCs w:val="72"/>
        </w:rPr>
      </w:pPr>
      <w:r>
        <w:rPr>
          <w:rFonts w:ascii="Helvetica Neue" w:cs="Helvetica Neue" w:eastAsia="Helvetica Neue" w:hAnsi="Helvetica Neue"/>
          <w:sz w:val="72"/>
          <w:szCs w:val="72"/>
          <w:rtl w:val="0"/>
        </w:rPr>
        <w:t xml:space="preserve">Title of Proposal</w:t>
      </w:r>
    </w:p>
    <w:p w14:paraId="0000000B">
      <w:pPr>
        <w:rPr>
          <w:rFonts w:ascii="Helvetica Neue" w:cs="Helvetica Neue" w:eastAsia="Helvetica Neue" w:hAnsi="Helvetica Neue"/>
        </w:rPr>
      </w:pPr>
      <w:r>
        <w:rPr>
          <w:rtl w:val="0"/>
        </w:rPr>
      </w:r>
    </w:p>
    <w:p w14:paraId="0000000C">
      <w:pPr>
        <w:rPr>
          <w:rFonts w:ascii="Helvetica Neue" w:cs="Helvetica Neue" w:eastAsia="Helvetica Neue" w:hAnsi="Helvetica Neue"/>
        </w:rPr>
      </w:pPr>
      <w:r>
        <w:rPr>
          <w:rtl w:val="0"/>
        </w:rPr>
      </w:r>
    </w:p>
    <w:p w14:paraId="0000000D">
      <w:pPr>
        <w:rPr>
          <w:rFonts w:ascii="Helvetica Neue" w:cs="Helvetica Neue" w:eastAsia="Helvetica Neue" w:hAnsi="Helvetica Neue"/>
        </w:rPr>
      </w:pPr>
      <w:r>
        <w:rPr>
          <w:rtl w:val="0"/>
        </w:rPr>
      </w:r>
    </w:p>
    <w:p w14:paraId="0000000E">
      <w:pPr>
        <w:rPr>
          <w:rFonts w:ascii="Helvetica Neue" w:cs="Helvetica Neue" w:eastAsia="Helvetica Neue" w:hAnsi="Helvetica Neue"/>
        </w:rPr>
      </w:pPr>
      <w:r>
        <w:rPr>
          <w:rtl w:val="0"/>
        </w:rPr>
      </w:r>
    </w:p>
    <w:p w14:paraId="0000000F">
      <w:pPr>
        <w:rPr>
          <w:rFonts w:ascii="Helvetica Neue" w:cs="Helvetica Neue" w:eastAsia="Helvetica Neue" w:hAnsi="Helvetica Neue"/>
        </w:rPr>
      </w:pPr>
      <w:r>
        <w:rPr>
          <w:rtl w:val="0"/>
        </w:rPr>
      </w:r>
    </w:p>
    <w:p w14:paraId="00000010">
      <w:pPr>
        <w:rPr>
          <w:rFonts w:ascii="Helvetica Neue" w:cs="Helvetica Neue" w:eastAsia="Helvetica Neue" w:hAnsi="Helvetica Neue"/>
        </w:rPr>
      </w:pPr>
      <w:r>
        <w:rPr>
          <w:rtl w:val="0"/>
        </w:rPr>
      </w:r>
    </w:p>
    <w:p w14:paraId="00000011">
      <w:pPr>
        <w:rPr>
          <w:rFonts w:ascii="Helvetica Neue" w:cs="Helvetica Neue" w:eastAsia="Helvetica Neue" w:hAnsi="Helvetica Neue"/>
        </w:rPr>
      </w:pPr>
      <w:r>
        <w:rPr>
          <w:rtl w:val="0"/>
        </w:rPr>
      </w:r>
    </w:p>
    <w:p w14:paraId="00000012">
      <w:pPr>
        <w:rPr>
          <w:rFonts w:ascii="Helvetica Neue" w:cs="Helvetica Neue" w:eastAsia="Helvetica Neue" w:hAnsi="Helvetica Neue"/>
        </w:rPr>
      </w:pPr>
      <w:r>
        <w:rPr>
          <w:rtl w:val="0"/>
        </w:rPr>
      </w:r>
    </w:p>
    <w:p w14:paraId="00000013">
      <w:pPr>
        <w:rPr>
          <w:rFonts w:ascii="Helvetica Neue" w:cs="Helvetica Neue" w:eastAsia="Helvetica Neue" w:hAnsi="Helvetica Neue"/>
        </w:rPr>
      </w:pPr>
      <w:r>
        <w:rPr>
          <w:rtl w:val="0"/>
        </w:rPr>
      </w:r>
    </w:p>
    <w:p w14:paraId="00000014">
      <w:pPr>
        <w:rPr>
          <w:rFonts w:ascii="Helvetica Neue" w:cs="Helvetica Neue" w:eastAsia="Helvetica Neue" w:hAnsi="Helvetica Neue"/>
        </w:rPr>
      </w:pPr>
      <w:r>
        <w:rPr>
          <w:rtl w:val="0"/>
        </w:rPr>
      </w:r>
    </w:p>
    <w:tbl>
      <w:tblPr>
        <w:tblStyle w:val="Table1"/>
        <w:tblW w:w="10400.0" w:type="dxa"/>
        <w:jc w:val="center"/>
        <w:tblLayout w:type="fixed"/>
        <w:tblLook w:val="0600"/>
      </w:tblPr>
      <w:tblGrid>
        <w:gridCol w:w="3200"/>
        <w:gridCol w:w="400"/>
        <w:gridCol w:w="3200"/>
        <w:gridCol w:w="400"/>
        <w:gridCol w:w="3200"/>
        <w:tblGridChange w:id="0">
          <w:tblGrid>
            <w:gridCol w:w="3200"/>
            <w:gridCol w:w="400"/>
            <w:gridCol w:w="3200"/>
            <w:gridCol w:w="400"/>
            <w:gridCol w:w="3200"/>
          </w:tblGrid>
        </w:tblGridChange>
      </w:tblGrid>
      <w:tr>
        <w:trPr>
          <w:cantSplit w:val="0"/>
          <w:tblHeader w:val="0"/>
        </w:trPr>
        <w:tc>
          <w:tcPr/>
          <w:p w14:paraId="00000015">
            <w:pPr>
              <w:pStyle w:val="Heading3"/>
              <w:rPr/>
            </w:pPr>
            <w:bookmarkStart w:colFirst="0" w:colLast="0" w:name="_heading=h.7ykrt4nkacae" w:id="0"/>
            <w:bookmarkEnd w:id="0"/>
            <w:r>
              <w:rPr>
                <w:rtl w:val="0"/>
              </w:rPr>
              <w:t xml:space="preserve">STATUS</w:t>
            </w:r>
          </w:p>
          <w:p w14:paraId="00000016">
            <w:pPr>
              <w:spacing w:after="110" w:line="300" w:lineRule="auto"/>
              <w:rPr>
                <w:rFonts w:ascii="Helvetica Neue" w:cs="Helvetica Neue" w:eastAsia="Helvetica Neue" w:hAnsi="Helvetica Neue"/>
              </w:rPr>
            </w:pPr>
            <w:r>
              <w:rPr>
                <w:rFonts w:ascii="Helvetica Neue" w:cs="Helvetica Neue" w:eastAsia="Helvetica Neue" w:hAnsi="Helvetica Neue"/>
                <w:color w:val="233447"/>
                <w:rtl w:val="0"/>
              </w:rPr>
              <w:t xml:space="preserve">[Draft / Proposed / Approved]</w:t>
            </w:r>
            <w:r>
              <w:rPr>
                <w:rtl w:val="0"/>
              </w:rPr>
            </w:r>
          </w:p>
        </w:tc>
        <w:tc>
          <w:tcPr/>
          <w:p w14:paraId="00000017">
            <w:pPr>
              <w:rPr>
                <w:rFonts w:ascii="Helvetica Neue" w:cs="Helvetica Neue" w:eastAsia="Helvetica Neue" w:hAnsi="Helvetica Neue"/>
              </w:rPr>
            </w:pPr>
            <w:r>
              <w:rPr>
                <w:rtl w:val="0"/>
              </w:rPr>
            </w:r>
          </w:p>
        </w:tc>
        <w:tc>
          <w:tcPr/>
          <w:p w14:paraId="00000018">
            <w:pPr>
              <w:pStyle w:val="Heading3"/>
              <w:rPr/>
            </w:pPr>
            <w:bookmarkStart w:colFirst="0" w:colLast="0" w:name="_heading=h.yfftl1hqu8kl" w:id="1"/>
            <w:bookmarkEnd w:id="1"/>
            <w:r>
              <w:rPr>
                <w:rtl w:val="0"/>
              </w:rPr>
              <w:t xml:space="preserve">OWNER</w:t>
            </w:r>
            <w:r>
              <w:rPr>
                <w:rtl w:val="0"/>
              </w:rPr>
            </w:r>
          </w:p>
          <w:p w14:paraId="00000019">
            <w:pPr>
              <w:spacing w:after="110" w:line="300" w:lineRule="auto"/>
              <w:rPr>
                <w:rFonts w:ascii="Helvetica Neue" w:cs="Helvetica Neue" w:eastAsia="Helvetica Neue" w:hAnsi="Helvetica Neue"/>
              </w:rPr>
            </w:pPr>
            <w:r>
              <w:rPr>
                <w:rFonts w:ascii="Helvetica Neue" w:cs="Helvetica Neue" w:eastAsia="Helvetica Neue" w:hAnsi="Helvetica Neue"/>
                <w:color w:val="233447"/>
                <w:rtl w:val="0"/>
              </w:rPr>
              <w:t xml:space="preserve">[</w:t>
            </w:r>
            <w:r>
              <w:rPr>
                <w:rFonts w:ascii="Helvetica Neue" w:cs="Helvetica Neue" w:eastAsia="Helvetica Neue" w:hAnsi="Helvetica Neue"/>
                <w:rtl w:val="0"/>
              </w:rPr>
              <w:t xml:space="preserve">Team</w:t>
            </w:r>
            <w:r>
              <w:rPr>
                <w:rFonts w:ascii="Helvetica Neue" w:cs="Helvetica Neue" w:eastAsia="Helvetica Neue" w:hAnsi="Helvetica Neue"/>
                <w:color w:val="233447"/>
                <w:rtl w:val="0"/>
              </w:rPr>
              <w:t xml:space="preserve"> Name]</w:t>
            </w:r>
            <w:r>
              <w:rPr>
                <w:rtl w:val="0"/>
              </w:rPr>
            </w:r>
          </w:p>
        </w:tc>
        <w:tc>
          <w:tcPr/>
          <w:p w14:paraId="0000001A">
            <w:pPr>
              <w:rPr>
                <w:rFonts w:ascii="Helvetica Neue" w:cs="Helvetica Neue" w:eastAsia="Helvetica Neue" w:hAnsi="Helvetica Neue"/>
              </w:rPr>
            </w:pPr>
            <w:r>
              <w:rPr>
                <w:rtl w:val="0"/>
              </w:rPr>
            </w:r>
          </w:p>
        </w:tc>
        <w:tc>
          <w:tcPr/>
          <w:p w14:paraId="0000001B">
            <w:pPr>
              <w:pStyle w:val="Heading3"/>
              <w:rPr/>
            </w:pPr>
            <w:bookmarkStart w:colFirst="0" w:colLast="0" w:name="_heading=h.jp27tbh10tsa" w:id="2"/>
            <w:bookmarkEnd w:id="2"/>
            <w:r>
              <w:rPr>
                <w:rtl w:val="0"/>
              </w:rPr>
              <w:t xml:space="preserve">LAST UPDATED</w:t>
            </w:r>
            <w:r>
              <w:rPr>
                <w:rtl w:val="0"/>
              </w:rPr>
            </w:r>
          </w:p>
          <w:p w14:paraId="0000001C">
            <w:pPr>
              <w:spacing w:after="110" w:line="300" w:lineRule="auto"/>
              <w:rPr>
                <w:rFonts w:ascii="Helvetica Neue" w:cs="Helvetica Neue" w:eastAsia="Helvetica Neue" w:hAnsi="Helvetica Neue"/>
              </w:rPr>
            </w:pPr>
            <w:r>
              <w:rPr>
                <w:rFonts w:ascii="Helvetica Neue" w:cs="Helvetica Neue" w:eastAsia="Helvetica Neue" w:hAnsi="Helvetica Neue"/>
                <w:rtl w:val="0"/>
              </w:rPr>
              <w:t xml:space="preserve">[Month, DD, YYYY]</w:t>
            </w:r>
          </w:p>
        </w:tc>
      </w:tr>
    </w:tbl>
    <w:p w14:paraId="0000001D">
      <w:pPr>
        <w:spacing w:after="110" w:line="300" w:lineRule="auto"/>
        <w:rPr>
          <w:rFonts w:ascii="Helvetica Neue" w:cs="Helvetica Neue" w:eastAsia="Helvetica Neue" w:hAnsi="Helvetica Neue"/>
        </w:rPr>
      </w:pPr>
      <w:r>
        <w:rPr>
          <w:rtl w:val="0"/>
        </w:rPr>
      </w:r>
    </w:p>
    <w:tbl>
      <w:tblPr>
        <w:tblStyle w:val="Table2"/>
        <w:tblW w:w="1015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815"/>
        <w:gridCol w:w="8340"/>
        <w:tblGridChange w:id="0">
          <w:tblGrid>
            <w:gridCol w:w="1815"/>
            <w:gridCol w:w="8340"/>
          </w:tblGrid>
        </w:tblGridChange>
      </w:tblGrid>
      <w:tr>
        <w:trPr>
          <w:cantSplit w:val="1"/>
          <w:tblHeader w:val="0"/>
        </w:trPr>
        <w:tc>
          <w:tcPr>
            <w:shd w:fill="cfe2f3" w:val="clear"/>
            <w:tcMar>
              <w:top w:w="110.0" w:type="dxa"/>
              <w:left w:w="120.0" w:type="dxa"/>
              <w:bottom w:w="110.0" w:type="dxa"/>
              <w:right w:w="120.0" w:type="dxa"/>
            </w:tcMar>
            <w:vAlign w:val="center"/>
          </w:tcPr>
          <w:p w14:paraId="0000001E">
            <w:pPr>
              <w:spacing w:after="25" w:before="20" w:line="285" w:lineRule="auto"/>
              <w:rPr>
                <w:rFonts w:ascii="Helvetica Neue" w:cs="Helvetica Neue" w:eastAsia="Helvetica Neue" w:hAnsi="Helvetica Neue"/>
                <w:color w:val="000000"/>
              </w:rPr>
            </w:pPr>
            <w:r>
              <w:rPr>
                <w:rFonts w:ascii="Helvetica Neue" w:cs="Helvetica Neue" w:eastAsia="Helvetica Neue" w:hAnsi="Helvetica Neue"/>
                <w:b w:val="1"/>
                <w:bCs w:val="1"/>
                <w:color w:val="000000"/>
                <w:rtl w:val="0"/>
              </w:rPr>
              <w:t xml:space="preserve">Authors</w:t>
            </w:r>
            <w:r>
              <w:rPr>
                <w:rtl w:val="0"/>
              </w:rPr>
            </w:r>
          </w:p>
        </w:tc>
        <w:tc>
          <w:tcPr>
            <w:tcBorders>
              <w:top w:color="ffffff" w:space="0" w:sz="8" w:val="single"/>
              <w:bottom w:color="ffffff" w:space="0" w:sz="8" w:val="single"/>
              <w:right w:color="ffffff" w:space="0" w:sz="8" w:val="single"/>
            </w:tcBorders>
            <w:shd w:fill="f6f9fc" w:val="clear"/>
            <w:tcMar>
              <w:top w:w="110.0" w:type="dxa"/>
              <w:left w:w="120.0" w:type="dxa"/>
              <w:bottom w:w="110.0" w:type="dxa"/>
              <w:right w:w="120.0" w:type="dxa"/>
            </w:tcMar>
            <w:vAlign w:val="center"/>
          </w:tcPr>
          <w:p w14:paraId="0000001F">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w:t>
            </w:r>
            <w:r>
              <w:rPr>
                <w:rFonts w:ascii="Helvetica Neue" w:cs="Helvetica Neue" w:eastAsia="Helvetica Neue" w:hAnsi="Helvetica Neue"/>
                <w:rtl w:val="0"/>
              </w:rPr>
              <w:t xml:space="preserve">N</w:t>
            </w:r>
            <w:r>
              <w:rPr>
                <w:rFonts w:ascii="Helvetica Neue" w:cs="Helvetica Neue" w:eastAsia="Helvetica Neue" w:hAnsi="Helvetica Neue"/>
                <w:color w:val="233447"/>
                <w:rtl w:val="0"/>
              </w:rPr>
              <w:t xml:space="preserve">ame(s)]</w:t>
            </w:r>
            <w:r>
              <w:rPr>
                <w:rtl w:val="0"/>
              </w:rPr>
            </w:r>
          </w:p>
        </w:tc>
      </w:tr>
      <w:tr>
        <w:trPr>
          <w:cantSplit w:val="1"/>
          <w:trHeight w:val="404.3103027343749" w:hRule="atLeast"/>
          <w:tblHeader w:val="0"/>
        </w:trPr>
        <w:tc>
          <w:tcPr>
            <w:shd w:fill="cfe2f3" w:val="clear"/>
            <w:tcMar>
              <w:top w:w="110.0" w:type="dxa"/>
              <w:left w:w="120.0" w:type="dxa"/>
              <w:bottom w:w="110.0" w:type="dxa"/>
              <w:right w:w="120.0" w:type="dxa"/>
            </w:tcMar>
            <w:vAlign w:val="center"/>
          </w:tcPr>
          <w:p w14:paraId="00000020">
            <w:pPr>
              <w:spacing w:after="25" w:before="20" w:line="285" w:lineRule="auto"/>
              <w:rPr>
                <w:rFonts w:ascii="Helvetica Neue" w:cs="Helvetica Neue" w:eastAsia="Helvetica Neue" w:hAnsi="Helvetica Neue"/>
                <w:color w:val="000000"/>
              </w:rPr>
            </w:pPr>
            <w:r>
              <w:rPr>
                <w:rFonts w:ascii="Helvetica Neue" w:cs="Helvetica Neue" w:eastAsia="Helvetica Neue" w:hAnsi="Helvetica Neue"/>
                <w:b w:val="1"/>
                <w:bCs w:val="1"/>
                <w:color w:val="000000"/>
                <w:rtl w:val="0"/>
              </w:rPr>
              <w:t xml:space="preserve">Reviewers</w:t>
            </w:r>
            <w:r>
              <w:rPr>
                <w:rtl w:val="0"/>
              </w:rPr>
            </w:r>
          </w:p>
        </w:tc>
        <w:tc>
          <w:tcPr>
            <w:tcBorders>
              <w:top w:color="ffffff" w:space="0" w:sz="8" w:val="single"/>
              <w:bottom w:color="ffffff" w:space="0" w:sz="8" w:val="single"/>
              <w:right w:color="ffffff" w:space="0" w:sz="8" w:val="single"/>
            </w:tcBorders>
            <w:shd w:fill="f6f9fc" w:val="clear"/>
            <w:tcMar>
              <w:top w:w="110.0" w:type="dxa"/>
              <w:left w:w="120.0" w:type="dxa"/>
              <w:bottom w:w="110.0" w:type="dxa"/>
              <w:right w:w="120.0" w:type="dxa"/>
            </w:tcMar>
            <w:vAlign w:val="center"/>
          </w:tcPr>
          <w:p w14:paraId="00000021">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[Reviewer names, roles, or groups]</w:t>
            </w:r>
            <w:r>
              <w:rPr>
                <w:rtl w:val="0"/>
              </w:rPr>
            </w:r>
          </w:p>
        </w:tc>
      </w:tr>
      <w:tr>
        <w:trPr>
          <w:cantSplit w:val="1"/>
          <w:tblHeader w:val="0"/>
        </w:trPr>
        <w:tc>
          <w:tcPr>
            <w:shd w:fill="cfe2f3" w:val="clear"/>
            <w:tcMar>
              <w:top w:w="110.0" w:type="dxa"/>
              <w:left w:w="120.0" w:type="dxa"/>
              <w:bottom w:w="110.0" w:type="dxa"/>
              <w:right w:w="120.0" w:type="dxa"/>
            </w:tcMar>
            <w:vAlign w:val="center"/>
          </w:tcPr>
          <w:p w14:paraId="00000022">
            <w:pPr>
              <w:spacing w:after="25" w:before="20" w:line="285" w:lineRule="auto"/>
              <w:rPr>
                <w:rFonts w:ascii="Helvetica Neue" w:cs="Helvetica Neue" w:eastAsia="Helvetica Neue" w:hAnsi="Helvetica Neue"/>
                <w:color w:val="000000"/>
              </w:rPr>
            </w:pPr>
            <w:r>
              <w:rPr>
                <w:rFonts w:ascii="Helvetica Neue" w:cs="Helvetica Neue" w:eastAsia="Helvetica Neue" w:hAnsi="Helvetica Neue"/>
                <w:b w:val="1"/>
                <w:bCs w:val="1"/>
                <w:color w:val="000000"/>
                <w:rtl w:val="0"/>
              </w:rPr>
              <w:t xml:space="preserve">Related docs</w:t>
            </w:r>
            <w:r>
              <w:rPr>
                <w:rtl w:val="0"/>
              </w:rPr>
            </w:r>
          </w:p>
        </w:tc>
        <w:tc>
          <w:tcPr>
            <w:tcBorders>
              <w:top w:color="ffffff" w:space="0" w:sz="8" w:val="single"/>
              <w:bottom w:color="ffffff" w:space="0" w:sz="8" w:val="single"/>
              <w:right w:color="ffffff" w:space="0" w:sz="8" w:val="single"/>
            </w:tcBorders>
            <w:shd w:fill="f6f9fc" w:val="clear"/>
            <w:tcMar>
              <w:top w:w="110.0" w:type="dxa"/>
              <w:left w:w="120.0" w:type="dxa"/>
              <w:bottom w:w="110.0" w:type="dxa"/>
              <w:right w:w="120.0" w:type="dxa"/>
            </w:tcMar>
            <w:vAlign w:val="center"/>
          </w:tcPr>
          <w:p w14:paraId="00000023">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w:t>
            </w:r>
            <w:r>
              <w:rPr>
                <w:rFonts w:ascii="Helvetica Neue" w:cs="Helvetica Neue" w:eastAsia="Helvetica Neue" w:hAnsi="Helvetica Neue"/>
                <w:rtl w:val="0"/>
              </w:rPr>
              <w:t xml:space="preserve">Link to related docs</w:t>
            </w:r>
            <w:r>
              <w:rPr>
                <w:rFonts w:ascii="Helvetica Neue" w:cs="Helvetica Neue" w:eastAsia="Helvetica Neue" w:hAnsi="Helvetica Neue"/>
                <w:color w:val="233447"/>
                <w:rtl w:val="0"/>
              </w:rPr>
              <w:t xml:space="preserve">]</w:t>
            </w:r>
            <w:r>
              <w:rPr>
                <w:rtl w:val="0"/>
              </w:rPr>
            </w:r>
          </w:p>
        </w:tc>
      </w:tr>
      <w:tr>
        <w:trPr>
          <w:cantSplit w:val="1"/>
          <w:tblHeader w:val="0"/>
        </w:trPr>
        <w:tc>
          <w:tcPr>
            <w:shd w:fill="cfe2f3" w:val="clear"/>
            <w:tcMar>
              <w:top w:w="110.0" w:type="dxa"/>
              <w:left w:w="120.0" w:type="dxa"/>
              <w:bottom w:w="110.0" w:type="dxa"/>
              <w:right w:w="120.0" w:type="dxa"/>
            </w:tcMar>
            <w:vAlign w:val="center"/>
          </w:tcPr>
          <w:p w14:paraId="00000024">
            <w:pPr>
              <w:spacing w:after="25" w:before="20" w:line="285" w:lineRule="auto"/>
              <w:rPr>
                <w:rFonts w:ascii="Helvetica Neue" w:cs="Helvetica Neue" w:eastAsia="Helvetica Neue" w:hAnsi="Helvetica Neue"/>
                <w:color w:val="000000"/>
              </w:rPr>
            </w:pPr>
            <w:r>
              <w:rPr>
                <w:rFonts w:ascii="Helvetica Neue" w:cs="Helvetica Neue" w:eastAsia="Helvetica Neue" w:hAnsi="Helvetica Neue"/>
                <w:b w:val="1"/>
                <w:bCs w:val="1"/>
                <w:color w:val="000000"/>
                <w:rtl w:val="0"/>
              </w:rPr>
              <w:t xml:space="preserve">Scope</w:t>
            </w:r>
            <w:r>
              <w:rPr>
                <w:rtl w:val="0"/>
              </w:rPr>
            </w:r>
          </w:p>
        </w:tc>
        <w:tc>
          <w:tcPr>
            <w:tcBorders>
              <w:top w:color="ffffff" w:space="0" w:sz="8" w:val="single"/>
              <w:bottom w:color="ffffff" w:space="0" w:sz="8" w:val="single"/>
              <w:right w:color="ffffff" w:space="0" w:sz="8" w:val="single"/>
            </w:tcBorders>
            <w:shd w:fill="f6f9fc" w:val="clear"/>
            <w:tcMar>
              <w:top w:w="110.0" w:type="dxa"/>
              <w:left w:w="120.0" w:type="dxa"/>
              <w:bottom w:w="110.0" w:type="dxa"/>
              <w:right w:w="120.0" w:type="dxa"/>
            </w:tcMar>
            <w:vAlign w:val="center"/>
          </w:tcPr>
          <w:p w14:paraId="00000025">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[One-sentence description of what this design covers]</w:t>
            </w:r>
            <w:r>
              <w:rPr>
                <w:rtl w:val="0"/>
              </w:rPr>
            </w:r>
          </w:p>
        </w:tc>
      </w:tr>
    </w:tbl>
    <w:p w14:paraId="00000026">
      <w:pPr>
        <w:pStyle w:val="Heading1"/>
        <w:pBdr>
          <w:top w:color="2f6b9a" w:space="2" w:sz="0" w:val="none"/>
          <w:left w:color="2f6b9a" w:space="2" w:sz="0" w:val="none"/>
          <w:bottom w:color="2f6b9a" w:space="2" w:sz="0" w:val="none"/>
          <w:right w:color="2f6b9a" w:space="2" w:sz="0" w:val="none"/>
        </w:pBdr>
        <w:spacing w:after="130" w:before="0" w:line="285" w:lineRule="auto"/>
        <w:rPr>
          <w:rFonts w:ascii="Helvetica Neue" w:cs="Helvetica Neue" w:eastAsia="Helvetica Neue" w:hAnsi="Helvetica Neue"/>
          <w:color w:val="000000"/>
        </w:rPr>
      </w:pPr>
      <w:r>
        <w:rPr>
          <w:rFonts w:ascii="Helvetica Neue" w:cs="Helvetica Neue" w:eastAsia="Helvetica Neue" w:hAnsi="Helvetica Neue"/>
          <w:color w:val="082a4a"/>
          <w:rtl w:val="0"/>
        </w:rPr>
        <w:t xml:space="preserve">1.  Abstract</w:t>
      </w:r>
      <w:r>
        <w:rPr>
          <w:rtl w:val="0"/>
        </w:rPr>
      </w:r>
    </w:p>
    <w:p w14:paraId="00000027">
      <w:pPr>
        <w:spacing w:after="110" w:line="300" w:lineRule="auto"/>
        <w:jc w:val="both"/>
        <w:rPr>
          <w:rFonts w:ascii="Helvetica Neue" w:cs="Helvetica Neue" w:eastAsia="Helvetica Neue" w:hAnsi="Helvetica Neue"/>
        </w:rPr>
      </w:pPr>
      <w:r>
        <w:rPr>
          <w:rFonts w:ascii="Helvetica Neue" w:cs="Helvetica Neue" w:eastAsia="Helvetica Neue" w:hAnsi="Helvetica Neue"/>
          <w:color w:val="233447"/>
          <w:rtl w:val="0"/>
        </w:rPr>
        <w:t xml:space="preserve">[Summarize the proposed system, the problem it solves, and the intended outcome. Describe the core design at a high level, including the main boundaries, dependencies, and guarantees. Keep this section concise enough that a reviewer can understand the proposal without reading the full document.]</w:t>
      </w:r>
      <w:r>
        <w:rPr>
          <w:rtl w:val="0"/>
        </w:rPr>
      </w:r>
    </w:p>
    <w:p w14:paraId="00000028">
      <w:pPr>
        <w:spacing w:after="110" w:line="300" w:lineRule="auto"/>
        <w:jc w:val="both"/>
        <w:rPr>
          <w:rFonts w:ascii="Helvetica Neue" w:cs="Helvetica Neue" w:eastAsia="Helvetica Neue" w:hAnsi="Helvetica Neue"/>
        </w:rPr>
      </w:pPr>
      <w:r>
        <w:rPr>
          <w:rFonts w:ascii="Helvetica Neue" w:cs="Helvetica Neue" w:eastAsia="Helvetica Neue" w:hAnsi="Helvetica Neue"/>
          <w:color w:val="233447"/>
          <w:rtl w:val="0"/>
        </w:rPr>
        <w:t xml:space="preserve">[Describe the workloads and constraints this design must support. Clarify what the proposal does not attempt to solve, the assumptions it relies on, and the most important operational or implementation boundaries.]</w:t>
      </w:r>
      <w:r>
        <w:rPr>
          <w:rtl w:val="0"/>
        </w:rPr>
      </w:r>
    </w:p>
    <w:p w14:paraId="00000029">
      <w:pPr>
        <w:spacing w:after="0" w:line="120" w:lineRule="auto"/>
        <w:jc w:val="both"/>
        <w:rPr>
          <w:rFonts w:ascii="Helvetica Neue" w:cs="Helvetica Neue" w:eastAsia="Helvetica Neue" w:hAnsi="Helvetica Neue"/>
        </w:rPr>
      </w:pPr>
      <w:r>
        <w:rPr>
          <w:rtl w:val="0"/>
        </w:rPr>
      </w:r>
    </w:p>
    <w:p w14:paraId="0000002A">
      <w:pPr>
        <w:pStyle w:val="Heading1"/>
        <w:rPr>
          <w:rFonts w:ascii="Helvetica Neue" w:cs="Helvetica Neue" w:eastAsia="Helvetica Neue" w:hAnsi="Helvetica Neue"/>
        </w:rPr>
      </w:pPr>
      <w:r>
        <w:rPr>
          <w:rFonts w:ascii="Helvetica Neue" w:cs="Helvetica Neue" w:eastAsia="Helvetica Neue" w:hAnsi="Helvetica Neue"/>
          <w:rtl w:val="0"/>
        </w:rPr>
        <w:t xml:space="preserve">2.  Goals and Non-Goals</w:t>
      </w:r>
    </w:p>
    <w:tbl>
      <w:tblPr>
        <w:tblStyle w:val="Table3"/>
        <w:tblW w:w="10224.0" w:type="dxa"/>
        <w:jc w:val="center"/>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5112"/>
        <w:gridCol w:w="5112"/>
        <w:tblGridChange w:id="0">
          <w:tblGrid>
            <w:gridCol w:w="5112"/>
            <w:gridCol w:w="5112"/>
          </w:tblGrid>
        </w:tblGridChange>
      </w:tblGrid>
      <w:tr>
        <w:trPr>
          <w:cantSplit w:val="1"/>
          <w:tblHeader w:val="1"/>
        </w:trPr>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2B">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Goals</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2C">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Non-goals</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2D">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[Goal 1: measurable outcome this design must achieve]</w:t>
            </w:r>
            <w:r>
              <w:rPr>
                <w:rtl w:val="0"/>
              </w:rPr>
            </w:r>
          </w:p>
        </w:tc>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2E">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[Non-goal 1: explicitly excluded capability or outcome]</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2F">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[Goal 2: reliability, scale, security, or user outcome]</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30">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[Non-goal 2: adjacent problem deferred to a later phase]</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31">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[Goal 3: required platform, policy, or operational capability]</w:t>
            </w:r>
            <w:r>
              <w:rPr>
                <w:rtl w:val="0"/>
              </w:rPr>
            </w:r>
          </w:p>
        </w:tc>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32">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[Non-goal 3: unsupported workflow, audience, or interface]</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33">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[Goal 4: rollout, reversibility, or blast-radius constraint]</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34">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[Non-goal 4: guarantee the design cannot or will not provide]</w:t>
            </w:r>
            <w:r>
              <w:rPr>
                <w:rtl w:val="0"/>
              </w:rPr>
            </w:r>
          </w:p>
        </w:tc>
      </w:tr>
    </w:tbl>
    <w:p w14:paraId="00000035">
      <w:pPr>
        <w:pStyle w:val="Heading1"/>
        <w:spacing w:before="0" w:line="216" w:lineRule="auto"/>
        <w:rPr>
          <w:rFonts w:ascii="Helvetica Neue" w:cs="Helvetica Neue" w:eastAsia="Helvetica Neue" w:hAnsi="Helvetica Neue"/>
          <w:color w:val="000000"/>
        </w:rPr>
      </w:pPr>
      <w:r>
        <w:rPr>
          <w:rtl w:val="0"/>
        </w:rPr>
      </w:r>
    </w:p>
    <w:p w14:paraId="00000036">
      <w:pPr>
        <w:pStyle w:val="Heading1"/>
        <w:rPr>
          <w:rFonts w:ascii="Helvetica Neue" w:cs="Helvetica Neue" w:eastAsia="Helvetica Neue" w:hAnsi="Helvetica Neue"/>
        </w:rPr>
      </w:pPr>
      <w:r>
        <w:rPr>
          <w:rFonts w:ascii="Helvetica Neue" w:cs="Helvetica Neue" w:eastAsia="Helvetica Neue" w:hAnsi="Helvetica Neue"/>
          <w:rtl w:val="0"/>
        </w:rPr>
        <w:t xml:space="preserve">3.  Background and Problem Statement</w:t>
      </w:r>
    </w:p>
    <w:p w14:paraId="00000037">
      <w:pPr>
        <w:spacing w:after="110" w:line="300" w:lineRule="auto"/>
        <w:jc w:val="both"/>
        <w:rPr>
          <w:rFonts w:ascii="Helvetica Neue" w:cs="Helvetica Neue" w:eastAsia="Helvetica Neue" w:hAnsi="Helvetica Neue"/>
        </w:rPr>
      </w:pPr>
      <w:r>
        <w:rPr>
          <w:rFonts w:ascii="Helvetica Neue" w:cs="Helvetica Neue" w:eastAsia="Helvetica Neue" w:hAnsi="Helvetica Neue"/>
          <w:color w:val="233447"/>
          <w:rtl w:val="0"/>
        </w:rPr>
        <w:t xml:space="preserve">[Describe the current state, the specific problem, and why the existing approach is no longer sufficient. Include relevant scale, reliability, security, cost, or developer-experience constraints, and explain the impact of leaving the problem unresolved.]</w:t>
      </w:r>
      <w:r>
        <w:rPr>
          <w:rtl w:val="0"/>
        </w:rPr>
      </w:r>
    </w:p>
    <w:p w14:paraId="00000038">
      <w:pPr>
        <w:spacing w:after="110" w:line="300" w:lineRule="auto"/>
        <w:jc w:val="both"/>
        <w:rPr>
          <w:rFonts w:ascii="Helvetica Neue" w:cs="Helvetica Neue" w:eastAsia="Helvetica Neue" w:hAnsi="Helvetica Neue"/>
          <w:color w:val="000000"/>
        </w:rPr>
      </w:pPr>
      <w:r>
        <w:rPr>
          <w:rFonts w:ascii="Helvetica Neue" w:cs="Helvetica Neue" w:eastAsia="Helvetica Neue" w:hAnsi="Helvetica Neue"/>
          <w:color w:val="233447"/>
          <w:rtl w:val="0"/>
        </w:rPr>
        <w:t xml:space="preserve">[Explain the proposed system boundary and the major responsibilities on each side. Name the primary components, how they interact, and which inputs determine behavior. State the key design principle or invariant that should guide implementation and review.]</w:t>
      </w:r>
      <w:r>
        <w:rPr>
          <w:rFonts w:ascii="Helvetica Neue" w:cs="Helvetica Neue" w:eastAsia="Helvetica Neue" w:hAnsi="Helvetica Neue"/>
          <w:sz w:val="13"/>
          <w:szCs w:val="13"/>
          <w:vertAlign w:val="superscript"/>
        </w:rPr>
        <w:footnoteReference w:customMarkFollows="0" w:id="0"/>
      </w:r>
      <w:r>
        <w:br w:type="page"/>
      </w:r>
      <w:r>
        <w:rPr>
          <w:rtl w:val="0"/>
        </w:rPr>
      </w:r>
    </w:p>
    <w:p w14:paraId="00000039">
      <w:pPr>
        <w:pStyle w:val="Heading1"/>
        <w:rPr>
          <w:rFonts w:ascii="Helvetica Neue" w:cs="Helvetica Neue" w:eastAsia="Helvetica Neue" w:hAnsi="Helvetica Neue"/>
        </w:rPr>
      </w:pPr>
      <w:r>
        <w:rPr>
          <w:rFonts w:ascii="Helvetica Neue" w:cs="Helvetica Neue" w:eastAsia="Helvetica Neue" w:hAnsi="Helvetica Neue"/>
          <w:rtl w:val="0"/>
        </w:rPr>
        <w:t xml:space="preserve">4.  Proposed Architecture</w:t>
      </w:r>
    </w:p>
    <w:p w14:paraId="0000003A">
      <w:pPr>
        <w:spacing w:after="0" w:line="144" w:lineRule="auto"/>
        <w:rPr>
          <w:rFonts w:ascii="Helvetica Neue" w:cs="Helvetica Neue" w:eastAsia="Helvetica Neue" w:hAnsi="Helvetica Neue"/>
        </w:rPr>
      </w:pPr>
      <w:r>
        <w:rPr>
          <w:rtl w:val="0"/>
        </w:rPr>
      </w:r>
    </w:p>
    <w:p w14:paraId="0000003B">
      <w:pPr>
        <w:rPr>
          <w:rFonts w:ascii="Helvetica Neue" w:cs="Helvetica Neue" w:eastAsia="Helvetica Neue" w:hAnsi="Helvetica Neue"/>
        </w:rPr>
      </w:pPr>
      <w:r>
        <w:rPr>
          <w:rFonts w:ascii="Helvetica Neue" w:cs="Helvetica Neue" w:eastAsia="Helvetica Neue" w:hAnsi="Helvetica Neue"/>
        </w:rPr>
        <w:drawing>
          <wp:inline distB="0" distT="0" distL="0" distR="0">
            <wp:extent cx="6126480" cy="3139821"/>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126480" cy="3139821"/>
                    </a:xfrm>
                    <a:prstGeom prst="rect"/>
                    <a:ln/>
                  </pic:spPr>
                </pic:pic>
              </a:graphicData>
            </a:graphic>
          </wp:inline>
        </w:drawing>
      </w:r>
      <w:r>
        <w:rPr>
          <w:rtl w:val="0"/>
        </w:rPr>
      </w:r>
    </w:p>
    <w:p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0" w:lineRule="auto"/>
        <w:ind w:left="0" w:right="0" w:firstLine="0"/>
        <w:jc w:val="left"/>
        <w:rPr>
          <w:rFonts w:ascii="Helvetica Neue" w:cs="Helvetica Neue" w:eastAsia="Helvetica Neue" w:hAnsi="Helvetica Neue"/>
          <w:color w:val="082a4a"/>
        </w:rPr>
      </w:pPr>
      <w:r>
        <w:rPr>
          <w:rFonts w:ascii="Helvetica Neue" w:cs="Helvetica Neue" w:eastAsia="Helvetica Neue" w:hAnsi="Helvetica Neue"/>
          <w:color w:val="082a4a"/>
          <w:rtl w:val="0"/>
        </w:rPr>
        <w:t xml:space="preserve">Figure 1. [Proposed System Architecture].</w:t>
      </w:r>
    </w:p>
    <w:p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0" w:lineRule="auto"/>
        <w:ind w:left="0" w:right="0" w:firstLine="0"/>
        <w:jc w:val="left"/>
        <w:rPr>
          <w:rFonts w:ascii="Helvetica Neue" w:cs="Helvetica Neue" w:eastAsia="Helvetica Neue" w:hAnsi="Helvetica Neue"/>
          <w:color w:val="082a4a"/>
        </w:rPr>
      </w:pPr>
      <w:r>
        <w:rPr>
          <w:rtl w:val="0"/>
        </w:rPr>
      </w:r>
    </w:p>
    <w:p w14:paraId="0000003E">
      <w:pPr>
        <w:pStyle w:val="Heading3"/>
        <w:spacing w:after="90" w:line="280" w:lineRule="auto"/>
        <w:rPr/>
      </w:pPr>
      <w:bookmarkStart w:colFirst="0" w:colLast="0" w:name="_heading=h.z8y8vnqzkka4" w:id="3"/>
      <w:bookmarkEnd w:id="3"/>
      <w:r>
        <w:rPr>
          <w:rtl w:val="0"/>
        </w:rPr>
        <w:t xml:space="preserve">Core components</w:t>
      </w:r>
    </w:p>
    <w:p w14:paraId="0000003F">
      <w:pPr>
        <w:spacing w:after="0" w:before="20" w:line="240" w:lineRule="auto"/>
        <w:rPr>
          <w:rFonts w:ascii="Helvetica Neue" w:cs="Helvetica Neue" w:eastAsia="Helvetica Neue" w:hAnsi="Helvetica Neue"/>
          <w:sz w:val="16"/>
          <w:szCs w:val="16"/>
        </w:rPr>
      </w:pPr>
      <w:r>
        <w:rPr>
          <w:rtl w:val="0"/>
        </w:rPr>
      </w:r>
    </w:p>
    <w:tbl>
      <w:tblPr>
        <w:tblStyle w:val="Table4"/>
        <w:tblW w:w="10440.0" w:type="dxa"/>
        <w:jc w:val="center"/>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2268"/>
        <w:gridCol w:w="3164"/>
        <w:gridCol w:w="2374"/>
        <w:gridCol w:w="2634"/>
        <w:tblGridChange w:id="0">
          <w:tblGrid>
            <w:gridCol w:w="2268"/>
            <w:gridCol w:w="3164"/>
            <w:gridCol w:w="2374"/>
            <w:gridCol w:w="2634"/>
          </w:tblGrid>
        </w:tblGridChange>
      </w:tblGrid>
      <w:tr>
        <w:trPr>
          <w:cantSplit w:val="1"/>
          <w:tblHeader w:val="1"/>
        </w:trPr>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40">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Component</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41">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Responsibility</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42">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Primary storage</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43">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Failure behavior</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44">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[Component A]</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45">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its responsibility, inputs, and outputs.]</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46">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[Primary datastore or dependency]</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47">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behavior when this component fails.]</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48">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[Component B]</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49">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the core decision or processing responsibility.]</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4A">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[Configuration, policy, or metadata store]</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4B">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fail-open, fail-closed, or fallback behavior.]</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4C">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[Component C]</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4D">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downstream execution and response handling.]</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4E">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[Queue, cache, adapter, or service dependency]</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4F">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timeout, retry, and terminal failure behavior.]</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50">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[Component D]</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51">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durable state, audit, or lifecycle responsibilities.]</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52">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[Primary operational datastore]</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53">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write failure and recovery behavior.]</w:t>
            </w:r>
            <w:r>
              <w:rPr>
                <w:rtl w:val="0"/>
              </w:rPr>
            </w:r>
          </w:p>
        </w:tc>
      </w:tr>
      <w:tr>
        <w:trPr>
          <w:cantSplit w:val="1"/>
          <w:trHeight w:val="58" w:hRule="atLeast"/>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54">
            <w:pPr>
              <w:spacing w:after="25"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[Component E]</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55">
            <w:pPr>
              <w:spacing w:after="25"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metrics, logs, traces, and alerting responsibilities.]</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56">
            <w:pPr>
              <w:spacing w:after="25"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[Telemetry and analytics backend]</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57">
            <w:pPr>
              <w:spacing w:after="25"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degraded-mode monitoring and escalation.]</w:t>
            </w:r>
            <w:r>
              <w:rPr>
                <w:rtl w:val="0"/>
              </w:rPr>
            </w:r>
          </w:p>
        </w:tc>
      </w:tr>
    </w:tbl>
    <w:p w14:paraId="00000058">
      <w:pPr>
        <w:pStyle w:val="Heading1"/>
        <w:spacing w:before="0" w:line="120" w:lineRule="auto"/>
        <w:rPr>
          <w:rFonts w:ascii="Helvetica Neue" w:cs="Helvetica Neue" w:eastAsia="Helvetica Neue" w:hAnsi="Helvetica Neue"/>
          <w:color w:val="000000"/>
        </w:rPr>
      </w:pPr>
      <w:r>
        <w:rPr>
          <w:rtl w:val="0"/>
        </w:rPr>
      </w:r>
    </w:p>
    <w:p w14:paraId="00000059">
      <w:pPr>
        <w:pStyle w:val="Heading1"/>
        <w:spacing w:before="0" w:line="120" w:lineRule="auto"/>
        <w:rPr>
          <w:rFonts w:ascii="Helvetica Neue" w:cs="Helvetica Neue" w:eastAsia="Helvetica Neue" w:hAnsi="Helvetica Neue"/>
          <w:color w:val="000000"/>
        </w:rPr>
      </w:pPr>
      <w:r>
        <w:rPr>
          <w:rtl w:val="0"/>
        </w:rPr>
      </w:r>
    </w:p>
    <w:p w14:paraId="0000005A">
      <w:pPr>
        <w:pStyle w:val="Heading1"/>
        <w:rPr>
          <w:rFonts w:ascii="Helvetica Neue" w:cs="Helvetica Neue" w:eastAsia="Helvetica Neue" w:hAnsi="Helvetica Neue"/>
        </w:rPr>
      </w:pPr>
      <w:r>
        <w:rPr>
          <w:rFonts w:ascii="Helvetica Neue" w:cs="Helvetica Neue" w:eastAsia="Helvetica Neue" w:hAnsi="Helvetica Neue"/>
          <w:rtl w:val="0"/>
        </w:rPr>
        <w:t xml:space="preserve">5.  Request Lifecycle</w:t>
      </w:r>
    </w:p>
    <w:p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how a request, event, or job enters the system and identify the required inputs.]</w:t>
      </w:r>
      <w:r>
        <w:rPr>
          <w:rtl w:val="0"/>
        </w:rPr>
      </w:r>
    </w:p>
    <w:p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validation, authentication, authorization, and normalization at the system boundary.]</w:t>
      </w:r>
      <w:r>
        <w:rPr>
          <w:rtl w:val="0"/>
        </w:rPr>
      </w:r>
    </w:p>
    <w:p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which configuration, policy, state, or dependency data is loaded before processing.]</w:t>
      </w:r>
      <w:r>
        <w:rPr>
          <w:rtl w:val="0"/>
        </w:rPr>
      </w:r>
    </w:p>
    <w:p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the primary decision or processing step and the output it produces.]</w:t>
      </w:r>
      <w:r>
        <w:rPr>
          <w:rtl w:val="0"/>
        </w:rPr>
      </w:r>
    </w:p>
    <w:p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which durable state must be written before side effects or downstream execution begin.]</w:t>
      </w:r>
      <w:r>
        <w:rPr>
          <w:rtl w:val="0"/>
        </w:rPr>
      </w:r>
    </w:p>
    <w:p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downstream calls, retries, timeouts, budget limits, and terminal conditions.]</w:t>
      </w:r>
      <w:r>
        <w:rPr>
          <w:rtl w:val="0"/>
        </w:rPr>
      </w:r>
    </w:p>
    <w:p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final state updates, the response or output, and the metrics, logs, and traces emitted.]</w:t>
      </w:r>
      <w:r>
        <w:rPr>
          <w:rtl w:val="0"/>
        </w:rPr>
      </w:r>
    </w:p>
    <w:p w14:paraId="00000062">
      <w:pPr>
        <w:pStyle w:val="Heading1"/>
        <w:spacing w:before="0" w:line="168" w:lineRule="auto"/>
        <w:rPr>
          <w:rFonts w:ascii="Helvetica Neue" w:cs="Helvetica Neue" w:eastAsia="Helvetica Neue" w:hAnsi="Helvetica Neue"/>
          <w:color w:val="000000"/>
        </w:rPr>
      </w:pPr>
      <w:r>
        <w:rPr>
          <w:rtl w:val="0"/>
        </w:rPr>
      </w:r>
    </w:p>
    <w:p w14:paraId="00000063">
      <w:pPr>
        <w:pStyle w:val="Heading1"/>
        <w:rPr>
          <w:rFonts w:ascii="Helvetica Neue" w:cs="Helvetica Neue" w:eastAsia="Helvetica Neue" w:hAnsi="Helvetica Neue"/>
        </w:rPr>
      </w:pPr>
      <w:r>
        <w:rPr>
          <w:rFonts w:ascii="Helvetica Neue" w:cs="Helvetica Neue" w:eastAsia="Helvetica Neue" w:hAnsi="Helvetica Neue"/>
          <w:rtl w:val="0"/>
        </w:rPr>
        <w:t xml:space="preserve">6.  API and Data Contracts</w:t>
      </w:r>
    </w:p>
    <w:p w14:paraId="00000064">
      <w:pPr>
        <w:pStyle w:val="Heading3"/>
        <w:spacing w:after="90" w:line="280" w:lineRule="auto"/>
        <w:rPr/>
      </w:pPr>
      <w:bookmarkStart w:colFirst="0" w:colLast="0" w:name="_heading=h.tw1sfexklg0y" w:id="4"/>
      <w:bookmarkEnd w:id="4"/>
      <w:r>
        <w:rPr>
          <w:rtl w:val="0"/>
        </w:rPr>
        <w:t xml:space="preserve">Primary data contract</w:t>
      </w:r>
    </w:p>
    <w:p w14:paraId="00000065">
      <w:pPr>
        <w:spacing w:after="0" w:line="192" w:lineRule="auto"/>
        <w:rPr>
          <w:rFonts w:ascii="Helvetica Neue" w:cs="Helvetica Neue" w:eastAsia="Helvetica Neue" w:hAnsi="Helvetica Neue"/>
          <w:sz w:val="16"/>
          <w:szCs w:val="16"/>
        </w:rPr>
      </w:pPr>
      <w:r>
        <w:rPr>
          <w:rtl w:val="0"/>
        </w:rPr>
      </w:r>
    </w:p>
    <w:tbl>
      <w:tblPr>
        <w:tblStyle w:val="Table5"/>
        <w:tblW w:w="10440.0" w:type="dxa"/>
        <w:jc w:val="center"/>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2344"/>
        <w:gridCol w:w="1921"/>
        <w:gridCol w:w="1873"/>
        <w:gridCol w:w="4302"/>
        <w:tblGridChange w:id="0">
          <w:tblGrid>
            <w:gridCol w:w="2344"/>
            <w:gridCol w:w="1921"/>
            <w:gridCol w:w="1873"/>
            <w:gridCol w:w="4302"/>
          </w:tblGrid>
        </w:tblGridChange>
      </w:tblGrid>
      <w:tr>
        <w:trPr>
          <w:cantSplit w:val="1"/>
          <w:tblHeader w:val="1"/>
        </w:trPr>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66">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Field</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67">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Type</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68">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Required</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69">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Description</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6A">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field_name_1</w:t>
            </w:r>
            <w:r>
              <w:rPr>
                <w:rtl w:val="0"/>
              </w:rPr>
            </w:r>
          </w:p>
        </w:tc>
        <w:tc>
          <w:tcPr>
            <w:tcBorders>
              <w:top w:color="ffffff" w:space="0" w:sz="6" w:val="single"/>
              <w:left w:color="ffffff" w:space="0" w:sz="6" w:val="single"/>
              <w:bottom w:color="ffffff" w:space="0" w:sz="6" w:val="single"/>
              <w:right w:color="ffffff" w:space="0" w:sz="6" w:val="single"/>
            </w:tcBorders>
            <w:tcMar>
              <w:top w:w="110.0" w:type="dxa"/>
              <w:left w:w="120.0" w:type="dxa"/>
              <w:bottom w:w="110.0" w:type="dxa"/>
              <w:right w:w="120.0" w:type="dxa"/>
            </w:tcMar>
            <w:vAlign w:val="center"/>
          </w:tcPr>
          <w:p w14:paraId="0000006B">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[Type]</w:t>
            </w:r>
            <w:r>
              <w:rPr>
                <w:rtl w:val="0"/>
              </w:rPr>
            </w:r>
          </w:p>
        </w:tc>
        <w:tc>
          <w:tcPr>
            <w:tcBorders>
              <w:top w:color="ffffff" w:space="0" w:sz="6" w:val="single"/>
              <w:left w:color="ffffff" w:space="0" w:sz="6" w:val="single"/>
              <w:bottom w:color="ffffff" w:space="0" w:sz="6" w:val="single"/>
              <w:right w:color="ffffff" w:space="0" w:sz="6" w:val="single"/>
            </w:tcBorders>
            <w:tcMar>
              <w:top w:w="110.0" w:type="dxa"/>
              <w:left w:w="120.0" w:type="dxa"/>
              <w:bottom w:w="110.0" w:type="dxa"/>
              <w:right w:w="120.0" w:type="dxa"/>
            </w:tcMar>
            <w:vAlign w:val="center"/>
          </w:tcPr>
          <w:p w14:paraId="0000006C">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[Yes / No]</w:t>
            </w:r>
            <w:r>
              <w:rPr>
                <w:rtl w:val="0"/>
              </w:rPr>
            </w:r>
          </w:p>
        </w:tc>
        <w:tc>
          <w:tcPr>
            <w:tcBorders>
              <w:top w:color="ffffff" w:space="0" w:sz="6" w:val="single"/>
              <w:left w:color="ffffff" w:space="0" w:sz="6" w:val="single"/>
              <w:bottom w:color="ffffff" w:space="0" w:sz="6" w:val="single"/>
              <w:right w:color="ffffff" w:space="0" w:sz="6" w:val="single"/>
            </w:tcBorders>
            <w:tcMar>
              <w:top w:w="110.0" w:type="dxa"/>
              <w:left w:w="120.0" w:type="dxa"/>
              <w:bottom w:w="110.0" w:type="dxa"/>
              <w:right w:w="120.0" w:type="dxa"/>
            </w:tcMar>
            <w:vAlign w:val="center"/>
          </w:tcPr>
          <w:p w14:paraId="0000006D">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meaning, validation, ownership, and lifecycle.]</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6E">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field_name_2</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6F">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[Type]</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70">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[Yes / No]</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71">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the source and permitted values.]</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72">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field_name_3</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73">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[Type]</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74">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[Yes / No]</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75">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versioning or compatibility requirements.]</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76">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field_name_4</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77">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[Type]</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78">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[Yes / No]</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79">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relationship to other identifiers or records.]</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7A">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field_name_5</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7B">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[Type]</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7C">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[Yes / No]</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7D">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privacy, retention, or audit constraints.]</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7E">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field_name_6</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7F">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[Type]</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80">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[Yes / No]</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81">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array, object, or nested structure semantics.]</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82">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field_name_7</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83">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[Type]</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84">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[Yes / No]</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85">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how this field affects system behavior.]</w:t>
            </w:r>
            <w:r>
              <w:rPr>
                <w:rtl w:val="0"/>
              </w:rPr>
            </w:r>
          </w:p>
        </w:tc>
      </w:tr>
    </w:tbl>
    <w:p w14:paraId="00000086">
      <w:pPr>
        <w:spacing w:after="0" w:line="192" w:lineRule="auto"/>
        <w:rPr>
          <w:rFonts w:ascii="Helvetica Neue" w:cs="Helvetica Neue" w:eastAsia="Helvetica Neue" w:hAnsi="Helvetica Neue"/>
          <w:sz w:val="16"/>
          <w:szCs w:val="16"/>
        </w:rPr>
      </w:pPr>
      <w:r>
        <w:rPr>
          <w:rtl w:val="0"/>
        </w:rPr>
      </w:r>
    </w:p>
    <w:p w14:paraId="00000087">
      <w:pPr>
        <w:pStyle w:val="Heading3"/>
        <w:spacing w:after="90" w:line="280" w:lineRule="auto"/>
        <w:rPr/>
      </w:pPr>
      <w:bookmarkStart w:colFirst="0" w:colLast="0" w:name="_heading=h.379jmrhyew9b" w:id="5"/>
      <w:bookmarkEnd w:id="5"/>
      <w:r>
        <w:rPr>
          <w:rtl w:val="0"/>
        </w:rPr>
        <w:t xml:space="preserve">Contract guarantees</w:t>
      </w:r>
    </w:p>
    <w:p w14:paraId="00000088">
      <w:pPr>
        <w:spacing w:after="0" w:line="192" w:lineRule="auto"/>
        <w:rPr>
          <w:rFonts w:ascii="Helvetica Neue" w:cs="Helvetica Neue" w:eastAsia="Helvetica Neue" w:hAnsi="Helvetica Neue"/>
          <w:sz w:val="16"/>
          <w:szCs w:val="16"/>
        </w:rPr>
      </w:pPr>
      <w:r>
        <w:rPr>
          <w:rtl w:val="0"/>
        </w:rPr>
      </w:r>
    </w:p>
    <w:p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5" w:before="0" w:line="290" w:lineRule="auto"/>
        <w:ind w:left="72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[State the ordering, durability, or validation guarantee that must hold before execution.]</w:t>
      </w:r>
      <w:r>
        <w:rPr>
          <w:rtl w:val="0"/>
        </w:rPr>
      </w:r>
    </w:p>
    <w:p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5" w:before="0" w:line="290" w:lineRule="auto"/>
        <w:ind w:left="72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[State how writes, attempts, or events are identified and ordered.]</w:t>
      </w:r>
      <w:r>
        <w:rPr>
          <w:rtl w:val="0"/>
        </w:rPr>
      </w:r>
    </w:p>
    <w:p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5" w:before="0" w:line="290" w:lineRule="auto"/>
        <w:ind w:left="72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[State which versions, identifiers, or inputs must be captured for audit and replay.]</w:t>
      </w:r>
      <w:r>
        <w:rPr>
          <w:rtl w:val="0"/>
        </w:rPr>
      </w:r>
    </w:p>
    <w:p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5" w:before="0" w:line="290" w:lineRule="auto"/>
        <w:ind w:left="72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[State what this data is and is not a source of truth for.]</w:t>
      </w:r>
      <w:r>
        <w:rPr>
          <w:rtl w:val="0"/>
        </w:rPr>
      </w:r>
    </w:p>
    <w:p w14:paraId="0000008D">
      <w:pPr>
        <w:spacing w:after="110" w:line="300" w:lineRule="auto"/>
        <w:rPr>
          <w:rFonts w:ascii="Helvetica Neue" w:cs="Helvetica Neue" w:eastAsia="Helvetica Neue" w:hAnsi="Helvetica Neue"/>
        </w:rPr>
      </w:pPr>
      <w:r>
        <w:rPr>
          <w:rFonts w:ascii="Helvetica Neue" w:cs="Helvetica Neue" w:eastAsia="Helvetica Neue" w:hAnsi="Helvetica Neue"/>
          <w:color w:val="233447"/>
          <w:rtl w:val="0"/>
        </w:rPr>
        <w:t xml:space="preserve">The versioned schema or interface definition is published at </w:t>
      </w:r>
      <w:r>
        <w:rPr>
          <w:rtl w:val="0"/>
        </w:rPr>
      </w:r>
    </w:p>
    <w:p w14:paraId="0000008E">
      <w:pPr>
        <w:spacing w:after="110" w:line="300" w:lineRule="auto"/>
        <w:rPr>
          <w:rFonts w:ascii="Helvetica Neue" w:cs="Helvetica Neue" w:eastAsia="Helvetica Neue" w:hAnsi="Helvetica Neue"/>
        </w:rPr>
      </w:pPr>
      <w:hyperlink r:id="rId9">
        <w:r>
          <w:rPr>
            <w:rFonts w:ascii="Helvetica Neue" w:cs="Helvetica Neue" w:eastAsia="Helvetica Neue" w:hAnsi="Helvetica Neue"/>
            <w:color w:val="2f6b9a"/>
            <w:u w:val="single"/>
            <w:rtl w:val="0"/>
          </w:rPr>
          <w:t xml:space="preserve">[Link to interface or schema]</w:t>
        </w:r>
      </w:hyperlink>
      <w:r>
        <w:rPr>
          <w:rFonts w:ascii="Helvetica Neue" w:cs="Helvetica Neue" w:eastAsia="Helvetica Neue" w:hAnsi="Helvetica Neue"/>
          <w:color w:val="233447"/>
          <w:rtl w:val="0"/>
        </w:rPr>
        <w:t xml:space="preserve"> and update it with each contract release.</w:t>
      </w:r>
      <w:r>
        <w:rPr>
          <w:rtl w:val="0"/>
        </w:rPr>
      </w:r>
    </w:p>
    <w:p w14:paraId="0000008F">
      <w:pPr>
        <w:pStyle w:val="Heading1"/>
        <w:spacing w:before="0" w:line="120" w:lineRule="auto"/>
        <w:rPr>
          <w:rFonts w:ascii="Helvetica Neue" w:cs="Helvetica Neue" w:eastAsia="Helvetica Neue" w:hAnsi="Helvetica Neue"/>
          <w:color w:val="000000"/>
        </w:rPr>
      </w:pPr>
      <w:r>
        <w:rPr>
          <w:rtl w:val="0"/>
        </w:rPr>
      </w:r>
    </w:p>
    <w:p w14:paraId="00000090">
      <w:pPr>
        <w:pStyle w:val="Heading1"/>
        <w:rPr>
          <w:rFonts w:ascii="Helvetica Neue" w:cs="Helvetica Neue" w:eastAsia="Helvetica Neue" w:hAnsi="Helvetica Neue"/>
        </w:rPr>
      </w:pPr>
      <w:r>
        <w:rPr>
          <w:rFonts w:ascii="Helvetica Neue" w:cs="Helvetica Neue" w:eastAsia="Helvetica Neue" w:hAnsi="Helvetica Neue"/>
          <w:rtl w:val="0"/>
        </w:rPr>
        <w:t xml:space="preserve">7. Consistency, Idempotency, and Replay</w:t>
      </w:r>
    </w:p>
    <w:p w14:paraId="00000091">
      <w:pPr>
        <w:spacing w:after="0" w:line="96" w:lineRule="auto"/>
        <w:rPr>
          <w:rFonts w:ascii="Helvetica Neue" w:cs="Helvetica Neue" w:eastAsia="Helvetica Neue" w:hAnsi="Helvetica Neue"/>
        </w:rPr>
      </w:pPr>
      <w:r>
        <w:rPr>
          <w:rtl w:val="0"/>
        </w:rPr>
      </w:r>
    </w:p>
    <w:p w14:paraId="00000092">
      <w:pPr>
        <w:spacing w:after="110" w:line="300" w:lineRule="auto"/>
        <w:jc w:val="both"/>
        <w:rPr>
          <w:rFonts w:ascii="Helvetica Neue" w:cs="Helvetica Neue" w:eastAsia="Helvetica Neue" w:hAnsi="Helvetica Neue"/>
        </w:rPr>
      </w:pPr>
      <w:r>
        <w:rPr>
          <w:rFonts w:ascii="Helvetica Neue" w:cs="Helvetica Neue" w:eastAsia="Helvetica Neue" w:hAnsi="Helvetica Neue"/>
          <w:color w:val="233447"/>
          <w:rtl w:val="0"/>
        </w:rPr>
        <w:t xml:space="preserve">[Explain the consistency, idempotency, replay, ordering, or concurrency guarantees required by this design. Distinguish client-facing guarantees from internal analysis or recovery behavior, and identify where duplicate work or partial failure is acceptable.]</w:t>
      </w:r>
      <w:r>
        <w:rPr>
          <w:rtl w:val="0"/>
        </w:rPr>
      </w:r>
    </w:p>
    <w:tbl>
      <w:tblPr>
        <w:tblStyle w:val="Table6"/>
        <w:tblW w:w="10440.0" w:type="dxa"/>
        <w:jc w:val="center"/>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3337"/>
        <w:gridCol w:w="3722"/>
        <w:gridCol w:w="3381"/>
        <w:tblGridChange w:id="0">
          <w:tblGrid>
            <w:gridCol w:w="3337"/>
            <w:gridCol w:w="3722"/>
            <w:gridCol w:w="3381"/>
          </w:tblGrid>
        </w:tblGridChange>
      </w:tblGrid>
      <w:tr>
        <w:trPr>
          <w:cantSplit w:val="1"/>
          <w:tblHeader w:val="1"/>
        </w:trPr>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93">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Scenario</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94">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Expected behavior</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95">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Reasoning</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96">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[Duplicate, replayed, or repeated input]</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97">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the stable response and state transition.]</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98">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[Explain how duplicate work or side effects are prevented.]</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99">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[Required write or dependency fails]</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9A">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the error, retryability, and side-effect behavior.]</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9B">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[Explain why the failure mode is safe and observable.]</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9C">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[Timeout, partial failure, or downstream error]</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9D">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retry, fallback, and budget behavior.]</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9E">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[Explain how auditability and consistency are maintained.]</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9F">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[Configuration changes during execution]</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A0">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which version remains authoritative.]</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A1">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[Explain how mid-request behavior changes are prevented.]</w:t>
            </w:r>
            <w:r>
              <w:rPr>
                <w:rtl w:val="0"/>
              </w:rPr>
            </w:r>
          </w:p>
        </w:tc>
      </w:tr>
    </w:tbl>
    <w:p w14:paraId="000000A2">
      <w:pPr>
        <w:pStyle w:val="Heading1"/>
        <w:spacing w:before="0" w:line="269" w:lineRule="auto"/>
        <w:rPr>
          <w:rFonts w:ascii="Helvetica Neue" w:cs="Helvetica Neue" w:eastAsia="Helvetica Neue" w:hAnsi="Helvetica Neue"/>
          <w:color w:val="000000"/>
        </w:rPr>
      </w:pPr>
      <w:r>
        <w:rPr>
          <w:rtl w:val="0"/>
        </w:rPr>
      </w:r>
    </w:p>
    <w:p w14:paraId="000000A3">
      <w:pPr>
        <w:pStyle w:val="Heading1"/>
        <w:rPr>
          <w:rFonts w:ascii="Helvetica Neue" w:cs="Helvetica Neue" w:eastAsia="Helvetica Neue" w:hAnsi="Helvetica Neue"/>
        </w:rPr>
      </w:pPr>
      <w:r>
        <w:rPr>
          <w:rFonts w:ascii="Helvetica Neue" w:cs="Helvetica Neue" w:eastAsia="Helvetica Neue" w:hAnsi="Helvetica Neue"/>
          <w:rtl w:val="0"/>
        </w:rPr>
        <w:t xml:space="preserve">8. Security and Privacy Considerations</w:t>
      </w:r>
    </w:p>
    <w:p w14:paraId="000000A4">
      <w:pPr>
        <w:spacing w:after="0" w:line="96" w:lineRule="auto"/>
        <w:rPr>
          <w:rFonts w:ascii="Helvetica Neue" w:cs="Helvetica Neue" w:eastAsia="Helvetica Neue" w:hAnsi="Helvetica Neue"/>
        </w:rPr>
      </w:pPr>
      <w:r>
        <w:rPr>
          <w:rtl w:val="0"/>
        </w:rPr>
      </w:r>
    </w:p>
    <w:p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authentication, authorization, and tenant or data-boundary requirements.]</w:t>
      </w:r>
      <w:r>
        <w:rPr>
          <w:rtl w:val="0"/>
        </w:rPr>
      </w:r>
    </w:p>
    <w:p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data minimization, sensitive payload handling, and logging restrictions.]</w:t>
      </w:r>
      <w:r>
        <w:rPr>
          <w:rtl w:val="0"/>
        </w:rPr>
      </w:r>
    </w:p>
    <w:p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credential, secret, key, and certificate storage and access requirements.]</w:t>
      </w:r>
      <w:r>
        <w:rPr>
          <w:rtl w:val="0"/>
        </w:rPr>
      </w:r>
    </w:p>
    <w:p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safe defaults for administrative, replay, migration, and debugging tools.]</w:t>
      </w:r>
      <w:r>
        <w:rPr>
          <w:rtl w:val="0"/>
        </w:rPr>
      </w:r>
    </w:p>
    <w:p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[Describe retention, deletion, residency, privacy, and audit requirements.]</w:t>
      </w:r>
      <w:r>
        <w:rPr>
          <w:rtl w:val="0"/>
        </w:rPr>
      </w:r>
    </w:p>
    <w:p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92" w:lineRule="auto"/>
        <w:ind w:left="0" w:right="0" w:firstLine="0"/>
        <w:jc w:val="both"/>
        <w:rPr>
          <w:rFonts w:ascii="Helvetica Neue" w:cs="Helvetica Neue" w:eastAsia="Helvetica Neue" w:hAnsi="Helvetica Neue"/>
          <w:i w:val="0"/>
          <w:iCs w:val="0"/>
          <w:smallCaps w:val="0"/>
          <w:strike w:val="0"/>
          <w:color w:val="1e252e"/>
          <w:sz w:val="20"/>
          <w:szCs w:val="20"/>
          <w:u w:val="none"/>
          <w:shd w:fill="auto" w:val="clear"/>
          <w:vertAlign w:val="baseline"/>
        </w:rPr>
      </w:pPr>
      <w:r>
        <w:rPr>
          <w:rtl w:val="0"/>
        </w:rPr>
      </w:r>
    </w:p>
    <w:p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92" w:lineRule="auto"/>
        <w:ind w:left="0" w:right="0" w:firstLine="0"/>
        <w:jc w:val="both"/>
        <w:rPr>
          <w:rFonts w:ascii="Helvetica Neue" w:cs="Helvetica Neue" w:eastAsia="Helvetica Neue" w:hAnsi="Helvetica Neue"/>
          <w:i w:val="0"/>
          <w:iCs w:val="0"/>
          <w:smallCaps w:val="0"/>
          <w:strike w:val="0"/>
          <w:color w:val="1e252e"/>
          <w:sz w:val="20"/>
          <w:szCs w:val="20"/>
          <w:u w:val="none"/>
          <w:shd w:fill="auto" w:val="clear"/>
          <w:vertAlign w:val="baseline"/>
        </w:rPr>
      </w:pPr>
      <w:r>
        <w:rPr>
          <w:rtl w:val="0"/>
        </w:rPr>
      </w:r>
    </w:p>
    <w:p w14:paraId="000000AC">
      <w:pPr>
        <w:pStyle w:val="Heading1"/>
        <w:rPr>
          <w:rFonts w:ascii="Helvetica Neue" w:cs="Helvetica Neue" w:eastAsia="Helvetica Neue" w:hAnsi="Helvetica Neue"/>
        </w:rPr>
      </w:pPr>
      <w:r>
        <w:rPr>
          <w:rFonts w:ascii="Helvetica Neue" w:cs="Helvetica Neue" w:eastAsia="Helvetica Neue" w:hAnsi="Helvetica Neue"/>
          <w:rtl w:val="0"/>
        </w:rPr>
        <w:t xml:space="preserve">9.  Operational Readiness</w:t>
      </w:r>
    </w:p>
    <w:tbl>
      <w:tblPr>
        <w:tblStyle w:val="Table7"/>
        <w:tblW w:w="1044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268"/>
        <w:gridCol w:w="3521"/>
        <w:gridCol w:w="2306"/>
        <w:gridCol w:w="2345"/>
        <w:tblGridChange w:id="0">
          <w:tblGrid>
            <w:gridCol w:w="2268"/>
            <w:gridCol w:w="3521"/>
            <w:gridCol w:w="2306"/>
            <w:gridCol w:w="2345"/>
          </w:tblGrid>
        </w:tblGridChange>
      </w:tblGrid>
      <w:tr>
        <w:trPr>
          <w:cantSplit w:val="1"/>
          <w:tblHeader w:val="1"/>
        </w:trPr>
        <w:tc>
          <w:tcPr>
            <w:tcBorders>
              <w:top w:color="ffffff" w:space="0" w:sz="8" w:val="single"/>
              <w:left w:color="ffffff" w:space="0" w:sz="8" w:val="single"/>
              <w:bottom w:color="ffffff" w:space="0" w:sz="8" w:val="single"/>
              <w:right w:color="ffffff" w:space="0" w:sz="8" w:val="single"/>
            </w:tcBorders>
            <w:shd w:fill="082a4a" w:val="clear"/>
            <w:tcMar>
              <w:top w:w="110.0" w:type="dxa"/>
              <w:left w:w="120.0" w:type="dxa"/>
              <w:bottom w:w="110.0" w:type="dxa"/>
              <w:right w:w="120.0" w:type="dxa"/>
            </w:tcMar>
            <w:vAlign w:val="center"/>
          </w:tcPr>
          <w:p w14:paraId="000000AD">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Signal</w:t>
            </w:r>
            <w:r>
              <w:rPr>
                <w:rtl w:val="0"/>
              </w:rPr>
            </w:r>
          </w:p>
        </w:tc>
        <w:tc>
          <w:tcPr>
            <w:tcBorders>
              <w:top w:color="ffffff" w:space="0" w:sz="8" w:val="single"/>
              <w:left w:color="ffffff" w:space="0" w:sz="8" w:val="single"/>
              <w:bottom w:color="ffffff" w:space="0" w:sz="8" w:val="single"/>
              <w:right w:color="ffffff" w:space="0" w:sz="8" w:val="single"/>
            </w:tcBorders>
            <w:shd w:fill="082a4a" w:val="clear"/>
            <w:tcMar>
              <w:top w:w="110.0" w:type="dxa"/>
              <w:left w:w="120.0" w:type="dxa"/>
              <w:bottom w:w="110.0" w:type="dxa"/>
              <w:right w:w="120.0" w:type="dxa"/>
            </w:tcMar>
            <w:vAlign w:val="center"/>
          </w:tcPr>
          <w:p w14:paraId="000000AE">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SLO or alert</w:t>
            </w:r>
            <w:r>
              <w:rPr>
                <w:rtl w:val="0"/>
              </w:rPr>
            </w:r>
          </w:p>
        </w:tc>
        <w:tc>
          <w:tcPr>
            <w:tcBorders>
              <w:top w:color="ffffff" w:space="0" w:sz="8" w:val="single"/>
              <w:left w:color="ffffff" w:space="0" w:sz="8" w:val="single"/>
              <w:bottom w:color="ffffff" w:space="0" w:sz="8" w:val="single"/>
              <w:right w:color="ffffff" w:space="0" w:sz="8" w:val="single"/>
            </w:tcBorders>
            <w:shd w:fill="082a4a" w:val="clear"/>
            <w:tcMar>
              <w:top w:w="110.0" w:type="dxa"/>
              <w:left w:w="120.0" w:type="dxa"/>
              <w:bottom w:w="110.0" w:type="dxa"/>
              <w:right w:w="120.0" w:type="dxa"/>
            </w:tcMar>
            <w:vAlign w:val="center"/>
          </w:tcPr>
          <w:p w14:paraId="000000AF">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Owner</w:t>
            </w:r>
            <w:r>
              <w:rPr>
                <w:rtl w:val="0"/>
              </w:rPr>
            </w:r>
          </w:p>
        </w:tc>
        <w:tc>
          <w:tcPr>
            <w:tcBorders>
              <w:top w:color="ffffff" w:space="0" w:sz="8" w:val="single"/>
              <w:left w:color="ffffff" w:space="0" w:sz="8" w:val="single"/>
              <w:bottom w:color="ffffff" w:space="0" w:sz="8" w:val="single"/>
              <w:right w:color="ffffff" w:space="0" w:sz="8" w:val="single"/>
            </w:tcBorders>
            <w:shd w:fill="082a4a" w:val="clear"/>
            <w:tcMar>
              <w:top w:w="110.0" w:type="dxa"/>
              <w:left w:w="120.0" w:type="dxa"/>
              <w:bottom w:w="110.0" w:type="dxa"/>
              <w:right w:w="120.0" w:type="dxa"/>
            </w:tcMar>
            <w:vAlign w:val="center"/>
          </w:tcPr>
          <w:p w14:paraId="000000B0">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sz w:val="16"/>
                <w:szCs w:val="16"/>
                <w:rtl w:val="0"/>
              </w:rPr>
              <w:t xml:space="preserve">Launch gate</w:t>
            </w:r>
            <w:r>
              <w:rPr>
                <w:rtl w:val="0"/>
              </w:rPr>
            </w:r>
          </w:p>
        </w:tc>
      </w:tr>
      <w:tr>
        <w:trPr>
          <w:cantSplit w:val="1"/>
          <w:tblHeader w:val="0"/>
        </w:trPr>
        <w:tc>
          <w:tcPr>
            <w:tcBorders>
              <w:top w:color="ffffff" w:space="0" w:sz="8" w:val="single"/>
              <w:left w:color="ffffff" w:space="0" w:sz="8" w:val="single"/>
              <w:bottom w:color="ffffff" w:space="0" w:sz="8" w:val="single"/>
              <w:right w:color="ffffff" w:space="0" w:sz="8" w:val="single"/>
            </w:tcBorders>
            <w:shd w:fill="e6f0f8" w:val="clear"/>
            <w:tcMar>
              <w:top w:w="110.0" w:type="dxa"/>
              <w:left w:w="120.0" w:type="dxa"/>
              <w:bottom w:w="110.0" w:type="dxa"/>
              <w:right w:w="120.0" w:type="dxa"/>
            </w:tcMar>
            <w:vAlign w:val="center"/>
          </w:tcPr>
          <w:p w14:paraId="000000B1">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[Success or completion rate]</w:t>
            </w:r>
            <w:r>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10.0" w:type="dxa"/>
              <w:left w:w="120.0" w:type="dxa"/>
              <w:bottom w:w="110.0" w:type="dxa"/>
              <w:right w:w="120.0" w:type="dxa"/>
            </w:tcMar>
            <w:vAlign w:val="center"/>
          </w:tcPr>
          <w:p w14:paraId="000000B2">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[Target, measurement window, and page threshold]</w:t>
            </w:r>
            <w:r>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10.0" w:type="dxa"/>
              <w:left w:w="120.0" w:type="dxa"/>
              <w:bottom w:w="110.0" w:type="dxa"/>
              <w:right w:w="120.0" w:type="dxa"/>
            </w:tcMar>
            <w:vAlign w:val="center"/>
          </w:tcPr>
          <w:p w14:paraId="000000B3">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[Owning team]</w:t>
            </w:r>
            <w:r>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10.0" w:type="dxa"/>
              <w:left w:w="120.0" w:type="dxa"/>
              <w:bottom w:w="110.0" w:type="dxa"/>
              <w:right w:w="120.0" w:type="dxa"/>
            </w:tcMar>
            <w:vAlign w:val="center"/>
          </w:tcPr>
          <w:p w14:paraId="000000B4">
            <w:pPr>
              <w:spacing w:after="25" w:before="20" w:line="285" w:lineRule="auto"/>
              <w:rPr>
                <w:rFonts w:ascii="Helvetica Neue" w:cs="Helvetica Neue" w:eastAsia="Helvetica Neue" w:hAnsi="Helvetica Neue"/>
                <w:sz w:val="16"/>
                <w:szCs w:val="16"/>
              </w:rPr>
            </w:pPr>
            <w:r>
              <w:rPr>
                <w:rFonts w:ascii="Helvetica Neue" w:cs="Helvetica Neue" w:eastAsia="Helvetica Neue" w:hAnsi="Helvetica Neue"/>
                <w:color w:val="233447"/>
                <w:sz w:val="16"/>
                <w:szCs w:val="16"/>
                <w:rtl w:val="0"/>
              </w:rPr>
              <w:t xml:space="preserve">[Required / Recommended]</w:t>
            </w:r>
            <w:r>
              <w:rPr>
                <w:rtl w:val="0"/>
              </w:rPr>
            </w:r>
          </w:p>
        </w:tc>
      </w:tr>
      <w:tr>
        <w:trPr>
          <w:cantSplit w:val="1"/>
          <w:tblHeader w:val="0"/>
        </w:trPr>
        <w:tc>
          <w:tcPr>
            <w:tcBorders>
              <w:top w:color="ffffff" w:space="0" w:sz="8" w:val="single"/>
              <w:left w:color="ffffff" w:space="0" w:sz="8" w:val="single"/>
              <w:bottom w:color="ffffff" w:space="0" w:sz="8" w:val="single"/>
              <w:right w:color="ffffff" w:space="0" w:sz="8" w:val="single"/>
            </w:tcBorders>
            <w:shd w:fill="e6f0f8" w:val="clear"/>
            <w:tcMar>
              <w:top w:w="110.0" w:type="dxa"/>
              <w:left w:w="120.0" w:type="dxa"/>
              <w:bottom w:w="110.0" w:type="dxa"/>
              <w:right w:w="120.0" w:type="dxa"/>
            </w:tcMar>
            <w:vAlign w:val="center"/>
          </w:tcPr>
          <w:p w14:paraId="000000B5">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[Latency or processing time]</w:t>
            </w:r>
            <w:r>
              <w:rPr>
                <w:rtl w:val="0"/>
              </w:rPr>
            </w:r>
          </w:p>
        </w:tc>
        <w:tc>
          <w:tcPr>
            <w:tcBorders>
              <w:top w:color="ffffff" w:space="0" w:sz="8" w:val="single"/>
              <w:left w:color="ffffff" w:space="0" w:sz="8" w:val="single"/>
              <w:bottom w:color="ffffff" w:space="0" w:sz="8" w:val="single"/>
              <w:right w:color="ffffff" w:space="0" w:sz="8" w:val="single"/>
            </w:tcBorders>
            <w:shd w:fill="f6f9fc" w:val="clear"/>
            <w:tcMar>
              <w:top w:w="110.0" w:type="dxa"/>
              <w:left w:w="120.0" w:type="dxa"/>
              <w:bottom w:w="110.0" w:type="dxa"/>
              <w:right w:w="120.0" w:type="dxa"/>
            </w:tcMar>
            <w:vAlign w:val="center"/>
          </w:tcPr>
          <w:p w14:paraId="000000B6">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[Percentile target, alert threshold, and duration]</w:t>
            </w:r>
            <w:r>
              <w:rPr>
                <w:rtl w:val="0"/>
              </w:rPr>
            </w:r>
          </w:p>
        </w:tc>
        <w:tc>
          <w:tcPr>
            <w:tcBorders>
              <w:top w:color="ffffff" w:space="0" w:sz="8" w:val="single"/>
              <w:left w:color="ffffff" w:space="0" w:sz="8" w:val="single"/>
              <w:bottom w:color="ffffff" w:space="0" w:sz="8" w:val="single"/>
              <w:right w:color="ffffff" w:space="0" w:sz="8" w:val="single"/>
            </w:tcBorders>
            <w:shd w:fill="f6f9fc" w:val="clear"/>
            <w:tcMar>
              <w:top w:w="110.0" w:type="dxa"/>
              <w:left w:w="120.0" w:type="dxa"/>
              <w:bottom w:w="110.0" w:type="dxa"/>
              <w:right w:w="120.0" w:type="dxa"/>
            </w:tcMar>
            <w:vAlign w:val="center"/>
          </w:tcPr>
          <w:p w14:paraId="000000B7">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[Owning team]</w:t>
            </w:r>
            <w:r>
              <w:rPr>
                <w:rtl w:val="0"/>
              </w:rPr>
            </w:r>
          </w:p>
        </w:tc>
        <w:tc>
          <w:tcPr>
            <w:tcBorders>
              <w:top w:color="ffffff" w:space="0" w:sz="8" w:val="single"/>
              <w:left w:color="ffffff" w:space="0" w:sz="8" w:val="single"/>
              <w:bottom w:color="ffffff" w:space="0" w:sz="8" w:val="single"/>
              <w:right w:color="ffffff" w:space="0" w:sz="8" w:val="single"/>
            </w:tcBorders>
            <w:shd w:fill="f6f9fc" w:val="clear"/>
            <w:tcMar>
              <w:top w:w="110.0" w:type="dxa"/>
              <w:left w:w="120.0" w:type="dxa"/>
              <w:bottom w:w="110.0" w:type="dxa"/>
              <w:right w:w="120.0" w:type="dxa"/>
            </w:tcMar>
            <w:vAlign w:val="center"/>
          </w:tcPr>
          <w:p w14:paraId="000000B8">
            <w:pPr>
              <w:spacing w:after="25" w:before="20" w:line="285" w:lineRule="auto"/>
              <w:rPr>
                <w:rFonts w:ascii="Helvetica Neue" w:cs="Helvetica Neue" w:eastAsia="Helvetica Neue" w:hAnsi="Helvetica Neue"/>
                <w:sz w:val="16"/>
                <w:szCs w:val="16"/>
              </w:rPr>
            </w:pPr>
            <w:r>
              <w:rPr>
                <w:rFonts w:ascii="Helvetica Neue" w:cs="Helvetica Neue" w:eastAsia="Helvetica Neue" w:hAnsi="Helvetica Neue"/>
                <w:color w:val="233447"/>
                <w:sz w:val="16"/>
                <w:szCs w:val="16"/>
                <w:rtl w:val="0"/>
              </w:rPr>
              <w:t xml:space="preserve">[Required / Recommended]</w:t>
            </w:r>
            <w:r>
              <w:rPr>
                <w:rtl w:val="0"/>
              </w:rPr>
            </w:r>
          </w:p>
        </w:tc>
      </w:tr>
      <w:tr>
        <w:trPr>
          <w:cantSplit w:val="1"/>
          <w:tblHeader w:val="0"/>
        </w:trPr>
        <w:tc>
          <w:tcPr>
            <w:tcBorders>
              <w:top w:color="ffffff" w:space="0" w:sz="8" w:val="single"/>
              <w:left w:color="ffffff" w:space="0" w:sz="8" w:val="single"/>
              <w:bottom w:color="ffffff" w:space="0" w:sz="8" w:val="single"/>
              <w:right w:color="ffffff" w:space="0" w:sz="8" w:val="single"/>
            </w:tcBorders>
            <w:shd w:fill="e6f0f8" w:val="clear"/>
            <w:tcMar>
              <w:top w:w="110.0" w:type="dxa"/>
              <w:left w:w="120.0" w:type="dxa"/>
              <w:bottom w:w="110.0" w:type="dxa"/>
              <w:right w:w="120.0" w:type="dxa"/>
            </w:tcMar>
            <w:vAlign w:val="center"/>
          </w:tcPr>
          <w:p w14:paraId="000000B9">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[Fallback, retry, or error rate]</w:t>
            </w:r>
            <w:r>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10.0" w:type="dxa"/>
              <w:left w:w="120.0" w:type="dxa"/>
              <w:bottom w:w="110.0" w:type="dxa"/>
              <w:right w:w="120.0" w:type="dxa"/>
            </w:tcMar>
            <w:vAlign w:val="center"/>
          </w:tcPr>
          <w:p w14:paraId="000000BA">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[Warning and paging thresholds by workload class]</w:t>
            </w:r>
            <w:r>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10.0" w:type="dxa"/>
              <w:left w:w="120.0" w:type="dxa"/>
              <w:bottom w:w="110.0" w:type="dxa"/>
              <w:right w:w="120.0" w:type="dxa"/>
            </w:tcMar>
            <w:vAlign w:val="center"/>
          </w:tcPr>
          <w:p w14:paraId="000000BB">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[Owning team]</w:t>
            </w:r>
            <w:r>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10.0" w:type="dxa"/>
              <w:left w:w="120.0" w:type="dxa"/>
              <w:bottom w:w="110.0" w:type="dxa"/>
              <w:right w:w="120.0" w:type="dxa"/>
            </w:tcMar>
            <w:vAlign w:val="center"/>
          </w:tcPr>
          <w:p w14:paraId="000000BC">
            <w:pPr>
              <w:spacing w:after="25" w:before="20" w:line="285" w:lineRule="auto"/>
              <w:rPr>
                <w:rFonts w:ascii="Helvetica Neue" w:cs="Helvetica Neue" w:eastAsia="Helvetica Neue" w:hAnsi="Helvetica Neue"/>
                <w:sz w:val="16"/>
                <w:szCs w:val="16"/>
              </w:rPr>
            </w:pPr>
            <w:r>
              <w:rPr>
                <w:rFonts w:ascii="Helvetica Neue" w:cs="Helvetica Neue" w:eastAsia="Helvetica Neue" w:hAnsi="Helvetica Neue"/>
                <w:color w:val="233447"/>
                <w:sz w:val="16"/>
                <w:szCs w:val="16"/>
                <w:rtl w:val="0"/>
              </w:rPr>
              <w:t xml:space="preserve">[Required / Recommended]</w:t>
            </w:r>
            <w:r>
              <w:rPr>
                <w:rtl w:val="0"/>
              </w:rPr>
            </w:r>
          </w:p>
        </w:tc>
      </w:tr>
      <w:tr>
        <w:trPr>
          <w:cantSplit w:val="1"/>
          <w:tblHeader w:val="0"/>
        </w:trPr>
        <w:tc>
          <w:tcPr>
            <w:tcBorders>
              <w:top w:color="ffffff" w:space="0" w:sz="8" w:val="single"/>
              <w:left w:color="ffffff" w:space="0" w:sz="8" w:val="single"/>
              <w:bottom w:color="ffffff" w:space="0" w:sz="8" w:val="single"/>
              <w:right w:color="ffffff" w:space="0" w:sz="8" w:val="single"/>
            </w:tcBorders>
            <w:shd w:fill="e6f0f8" w:val="clear"/>
            <w:tcMar>
              <w:top w:w="110.0" w:type="dxa"/>
              <w:left w:w="120.0" w:type="dxa"/>
              <w:bottom w:w="110.0" w:type="dxa"/>
              <w:right w:w="120.0" w:type="dxa"/>
            </w:tcMar>
            <w:vAlign w:val="center"/>
          </w:tcPr>
          <w:p w14:paraId="000000BD">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[Configuration or deployment drift]</w:t>
            </w:r>
            <w:r>
              <w:rPr>
                <w:rtl w:val="0"/>
              </w:rPr>
            </w:r>
          </w:p>
        </w:tc>
        <w:tc>
          <w:tcPr>
            <w:tcBorders>
              <w:top w:color="ffffff" w:space="0" w:sz="8" w:val="single"/>
              <w:left w:color="ffffff" w:space="0" w:sz="8" w:val="single"/>
              <w:bottom w:color="ffffff" w:space="0" w:sz="8" w:val="single"/>
              <w:right w:color="ffffff" w:space="0" w:sz="8" w:val="single"/>
            </w:tcBorders>
            <w:shd w:fill="f6f9fc" w:val="clear"/>
            <w:tcMar>
              <w:top w:w="110.0" w:type="dxa"/>
              <w:left w:w="120.0" w:type="dxa"/>
              <w:bottom w:w="110.0" w:type="dxa"/>
              <w:right w:w="120.0" w:type="dxa"/>
            </w:tcMar>
            <w:vAlign w:val="center"/>
          </w:tcPr>
          <w:p w14:paraId="000000BE">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[Condition that indicates unsafe divergence]</w:t>
            </w:r>
            <w:r>
              <w:rPr>
                <w:rtl w:val="0"/>
              </w:rPr>
            </w:r>
          </w:p>
        </w:tc>
        <w:tc>
          <w:tcPr>
            <w:tcBorders>
              <w:top w:color="ffffff" w:space="0" w:sz="8" w:val="single"/>
              <w:left w:color="ffffff" w:space="0" w:sz="8" w:val="single"/>
              <w:bottom w:color="ffffff" w:space="0" w:sz="8" w:val="single"/>
              <w:right w:color="ffffff" w:space="0" w:sz="8" w:val="single"/>
            </w:tcBorders>
            <w:shd w:fill="f6f9fc" w:val="clear"/>
            <w:tcMar>
              <w:top w:w="110.0" w:type="dxa"/>
              <w:left w:w="120.0" w:type="dxa"/>
              <w:bottom w:w="110.0" w:type="dxa"/>
              <w:right w:w="120.0" w:type="dxa"/>
            </w:tcMar>
            <w:vAlign w:val="center"/>
          </w:tcPr>
          <w:p w14:paraId="000000BF">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[Owning team]</w:t>
            </w:r>
            <w:r>
              <w:rPr>
                <w:rtl w:val="0"/>
              </w:rPr>
            </w:r>
          </w:p>
        </w:tc>
        <w:tc>
          <w:tcPr>
            <w:tcBorders>
              <w:top w:color="ffffff" w:space="0" w:sz="8" w:val="single"/>
              <w:left w:color="ffffff" w:space="0" w:sz="8" w:val="single"/>
              <w:bottom w:color="ffffff" w:space="0" w:sz="8" w:val="single"/>
              <w:right w:color="ffffff" w:space="0" w:sz="8" w:val="single"/>
            </w:tcBorders>
            <w:shd w:fill="f6f9fc" w:val="clear"/>
            <w:tcMar>
              <w:top w:w="110.0" w:type="dxa"/>
              <w:left w:w="120.0" w:type="dxa"/>
              <w:bottom w:w="110.0" w:type="dxa"/>
              <w:right w:w="120.0" w:type="dxa"/>
            </w:tcMar>
            <w:vAlign w:val="center"/>
          </w:tcPr>
          <w:p w14:paraId="000000C0">
            <w:pPr>
              <w:spacing w:after="25" w:before="20" w:line="285" w:lineRule="auto"/>
              <w:rPr>
                <w:rFonts w:ascii="Helvetica Neue" w:cs="Helvetica Neue" w:eastAsia="Helvetica Neue" w:hAnsi="Helvetica Neue"/>
                <w:sz w:val="16"/>
                <w:szCs w:val="16"/>
              </w:rPr>
            </w:pPr>
            <w:r>
              <w:rPr>
                <w:rFonts w:ascii="Helvetica Neue" w:cs="Helvetica Neue" w:eastAsia="Helvetica Neue" w:hAnsi="Helvetica Neue"/>
                <w:color w:val="233447"/>
                <w:sz w:val="16"/>
                <w:szCs w:val="16"/>
                <w:rtl w:val="0"/>
              </w:rPr>
              <w:t xml:space="preserve">[Required / Recommended]</w:t>
            </w:r>
            <w:r>
              <w:rPr>
                <w:rtl w:val="0"/>
              </w:rPr>
            </w:r>
          </w:p>
        </w:tc>
      </w:tr>
      <w:tr>
        <w:trPr>
          <w:cantSplit w:val="1"/>
          <w:tblHeader w:val="0"/>
        </w:trPr>
        <w:tc>
          <w:tcPr>
            <w:tcBorders>
              <w:top w:color="ffffff" w:space="0" w:sz="8" w:val="single"/>
              <w:left w:color="ffffff" w:space="0" w:sz="8" w:val="single"/>
              <w:bottom w:color="ffffff" w:space="0" w:sz="8" w:val="single"/>
              <w:right w:color="ffffff" w:space="0" w:sz="8" w:val="single"/>
            </w:tcBorders>
            <w:shd w:fill="e6f0f8" w:val="clear"/>
            <w:tcMar>
              <w:top w:w="110.0" w:type="dxa"/>
              <w:left w:w="120.0" w:type="dxa"/>
              <w:bottom w:w="110.0" w:type="dxa"/>
              <w:right w:w="120.0" w:type="dxa"/>
            </w:tcMar>
            <w:vAlign w:val="center"/>
          </w:tcPr>
          <w:p w14:paraId="000000C1">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[Recovery, replay, or integrity check]</w:t>
            </w:r>
            <w:r>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10.0" w:type="dxa"/>
              <w:left w:w="120.0" w:type="dxa"/>
              <w:bottom w:w="110.0" w:type="dxa"/>
              <w:right w:w="120.0" w:type="dxa"/>
            </w:tcMar>
            <w:vAlign w:val="center"/>
          </w:tcPr>
          <w:p w14:paraId="000000C2">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[Synthetic or sampled validation cadence and target]</w:t>
            </w:r>
            <w:r>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10.0" w:type="dxa"/>
              <w:left w:w="120.0" w:type="dxa"/>
              <w:bottom w:w="110.0" w:type="dxa"/>
              <w:right w:w="120.0" w:type="dxa"/>
            </w:tcMar>
            <w:vAlign w:val="center"/>
          </w:tcPr>
          <w:p w14:paraId="000000C3">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[Owning team]</w:t>
            </w:r>
            <w:r>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10.0" w:type="dxa"/>
              <w:left w:w="120.0" w:type="dxa"/>
              <w:bottom w:w="110.0" w:type="dxa"/>
              <w:right w:w="120.0" w:type="dxa"/>
            </w:tcMar>
            <w:vAlign w:val="center"/>
          </w:tcPr>
          <w:p w14:paraId="000000C4">
            <w:pPr>
              <w:spacing w:after="25" w:before="20" w:line="285" w:lineRule="auto"/>
              <w:rPr>
                <w:rFonts w:ascii="Helvetica Neue" w:cs="Helvetica Neue" w:eastAsia="Helvetica Neue" w:hAnsi="Helvetica Neue"/>
                <w:sz w:val="16"/>
                <w:szCs w:val="16"/>
              </w:rPr>
            </w:pPr>
            <w:r>
              <w:rPr>
                <w:rFonts w:ascii="Helvetica Neue" w:cs="Helvetica Neue" w:eastAsia="Helvetica Neue" w:hAnsi="Helvetica Neue"/>
                <w:color w:val="233447"/>
                <w:sz w:val="16"/>
                <w:szCs w:val="16"/>
                <w:rtl w:val="0"/>
              </w:rPr>
              <w:t xml:space="preserve">[Required / Recommended]</w:t>
            </w:r>
            <w:r>
              <w:rPr>
                <w:rtl w:val="0"/>
              </w:rPr>
            </w:r>
          </w:p>
        </w:tc>
      </w:tr>
      <w:tr>
        <w:trPr>
          <w:cantSplit w:val="1"/>
          <w:tblHeader w:val="0"/>
        </w:trPr>
        <w:tc>
          <w:tcPr>
            <w:gridSpan w:val="4"/>
            <w:tcBorders>
              <w:top w:color="ffffff" w:space="0" w:sz="8" w:val="single"/>
              <w:left w:color="ffffff" w:space="0" w:sz="8" w:val="single"/>
              <w:bottom w:color="ffffff" w:space="0" w:sz="8" w:val="single"/>
              <w:right w:color="ffffff" w:space="0" w:sz="8" w:val="single"/>
            </w:tcBorders>
            <w:shd w:fill="ffffff" w:val="clear"/>
            <w:tcMar>
              <w:top w:w="110.0" w:type="dxa"/>
              <w:left w:w="120.0" w:type="dxa"/>
              <w:bottom w:w="110.0" w:type="dxa"/>
              <w:right w:w="120.0" w:type="dxa"/>
            </w:tcMar>
            <w:vAlign w:val="center"/>
          </w:tcPr>
          <w:p w14:paraId="000000C5">
            <w:pPr>
              <w:spacing w:after="25" w:before="20" w:line="285" w:lineRule="auto"/>
              <w:rPr>
                <w:rFonts w:ascii="Helvetica Neue" w:cs="Helvetica Neue" w:eastAsia="Helvetica Neue" w:hAnsi="Helvetica Neue"/>
              </w:rPr>
            </w:pPr>
            <w:r>
              <w:rPr>
                <w:rFonts w:ascii="Helvetica Neue" w:cs="Helvetica Neue" w:eastAsia="Helvetica Neue" w:hAnsi="Helvetica Neue"/>
                <w:color w:val="082a4a"/>
                <w:rtl w:val="0"/>
              </w:rPr>
              <w:t xml:space="preserve">Rollout constraint: [Describe dry-run, canary, feature-flag, validation, rollback, and promotion requirements before production launch.]</w:t>
            </w:r>
            <w:r>
              <w:rPr>
                <w:rtl w:val="0"/>
              </w:rPr>
            </w:r>
          </w:p>
        </w:tc>
      </w:tr>
    </w:tbl>
    <w:p w14:paraId="000000C9">
      <w:pPr>
        <w:pStyle w:val="Heading1"/>
        <w:spacing w:before="0" w:lineRule="auto"/>
        <w:rPr>
          <w:rFonts w:ascii="Helvetica Neue" w:cs="Helvetica Neue" w:eastAsia="Helvetica Neue" w:hAnsi="Helvetica Neue"/>
          <w:color w:val="000000"/>
        </w:rPr>
      </w:pPr>
      <w:r>
        <w:rPr>
          <w:rtl w:val="0"/>
        </w:rPr>
      </w:r>
    </w:p>
    <w:p w14:paraId="000000CA">
      <w:pPr>
        <w:pStyle w:val="Heading1"/>
        <w:rPr>
          <w:rFonts w:ascii="Helvetica Neue" w:cs="Helvetica Neue" w:eastAsia="Helvetica Neue" w:hAnsi="Helvetica Neue"/>
        </w:rPr>
      </w:pPr>
      <w:r>
        <w:rPr>
          <w:rFonts w:ascii="Helvetica Neue" w:cs="Helvetica Neue" w:eastAsia="Helvetica Neue" w:hAnsi="Helvetica Neue"/>
          <w:rtl w:val="0"/>
        </w:rPr>
        <w:t xml:space="preserve">10. Alternatives Considered</w:t>
      </w:r>
    </w:p>
    <w:p w14:paraId="000000CB">
      <w:pPr>
        <w:spacing w:after="0" w:line="14.399999999999999" w:lineRule="auto"/>
        <w:rPr>
          <w:rFonts w:ascii="Helvetica Neue" w:cs="Helvetica Neue" w:eastAsia="Helvetica Neue" w:hAnsi="Helvetica Neue"/>
        </w:rPr>
      </w:pPr>
      <w:r>
        <w:rPr>
          <w:rtl w:val="0"/>
        </w:rPr>
      </w:r>
    </w:p>
    <w:p w14:paraId="000000CC">
      <w:pPr>
        <w:spacing w:after="0" w:line="192" w:lineRule="auto"/>
        <w:rPr>
          <w:rFonts w:ascii="Helvetica Neue" w:cs="Helvetica Neue" w:eastAsia="Helvetica Neue" w:hAnsi="Helvetica Neue"/>
        </w:rPr>
      </w:pPr>
      <w:r>
        <w:rPr>
          <w:rtl w:val="0"/>
        </w:rPr>
      </w:r>
    </w:p>
    <w:tbl>
      <w:tblPr>
        <w:tblStyle w:val="Table8"/>
        <w:tblW w:w="10440.0" w:type="dxa"/>
        <w:jc w:val="center"/>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3303"/>
        <w:gridCol w:w="3313"/>
        <w:gridCol w:w="3824"/>
        <w:tblGridChange w:id="0">
          <w:tblGrid>
            <w:gridCol w:w="3303"/>
            <w:gridCol w:w="3313"/>
            <w:gridCol w:w="3824"/>
          </w:tblGrid>
        </w:tblGridChange>
      </w:tblGrid>
      <w:tr>
        <w:trPr>
          <w:cantSplit w:val="1"/>
          <w:tblHeader w:val="1"/>
        </w:trPr>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CD">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Alternative</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CE">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Why it was considered</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CF">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Why it was not selected</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D0">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[Alternative 1]</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D1">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the main benefit or reason to consider it.]</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D2">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the decisive tradeoff or unmet requirement.]</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D3">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[Alternative 2]</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D4">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the relevant capability or simplicity.]</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D5">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added complexity, risk, cost, or scope.]</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D6">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[Alternative 3]</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D7">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the potential performance or product benefit.]</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D8">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explainability, maturity, or operational concerns.]</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D9">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[Alternative 4]</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DA">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the consistency or implementation appeal.]</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DB">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[Describe the technical boundary that makes it unsuitable.]</w:t>
            </w:r>
            <w:r>
              <w:rPr>
                <w:rtl w:val="0"/>
              </w:rPr>
            </w:r>
          </w:p>
        </w:tc>
      </w:tr>
    </w:tbl>
    <w:p w14:paraId="000000DC">
      <w:pPr>
        <w:pStyle w:val="Heading1"/>
        <w:spacing w:before="0" w:line="269" w:lineRule="auto"/>
        <w:rPr>
          <w:rFonts w:ascii="Helvetica Neue" w:cs="Helvetica Neue" w:eastAsia="Helvetica Neue" w:hAnsi="Helvetica Neue"/>
          <w:color w:val="000000"/>
        </w:rPr>
      </w:pPr>
      <w:r>
        <w:rPr>
          <w:rtl w:val="0"/>
        </w:rPr>
      </w:r>
    </w:p>
    <w:p w14:paraId="000000DD">
      <w:pPr>
        <w:pStyle w:val="Heading1"/>
        <w:rPr>
          <w:rFonts w:ascii="Helvetica Neue" w:cs="Helvetica Neue" w:eastAsia="Helvetica Neue" w:hAnsi="Helvetica Neue"/>
        </w:rPr>
      </w:pPr>
      <w:r>
        <w:rPr>
          <w:rFonts w:ascii="Helvetica Neue" w:cs="Helvetica Neue" w:eastAsia="Helvetica Neue" w:hAnsi="Helvetica Neue"/>
          <w:rtl w:val="0"/>
        </w:rPr>
        <w:t xml:space="preserve">11. Open Questions</w:t>
      </w:r>
    </w:p>
    <w:p w14:paraId="000000D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[Open question 1: identify a decision that requires reviewer input before implementation.]</w:t>
      </w:r>
      <w:r>
        <w:rPr>
          <w:rtl w:val="0"/>
        </w:rPr>
      </w:r>
    </w:p>
    <w:p w14:paraId="000000D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[Open question 2: identify an unresolved product, policy, or operational constraint.]</w:t>
      </w:r>
      <w:r>
        <w:rPr>
          <w:rtl w:val="0"/>
        </w:rPr>
      </w:r>
    </w:p>
    <w:p w14:paraId="000000E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[Open question 3: identify a scale, deployment, or regional design choice.]</w:t>
      </w:r>
      <w:r>
        <w:rPr>
          <w:rtl w:val="0"/>
        </w:rPr>
      </w:r>
    </w:p>
    <w:p w14:paraId="000000E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5" w:before="0" w:line="290" w:lineRule="auto"/>
        <w:ind w:left="360" w:right="0" w:hanging="360"/>
        <w:jc w:val="both"/>
        <w:rPr>
          <w:rFonts w:ascii="Helvetica Neue" w:cs="Helvetica Neue" w:eastAsia="Helvetica Neue" w:hAnsi="Helvetica Neue"/>
        </w:rPr>
      </w:pPr>
      <w:r>
        <w:rPr>
          <w:rFonts w:ascii="Helvetica Neue" w:cs="Helvetica Neue" w:eastAsia="Helvetica Neue" w:hAnsi="Helvetica Neue"/>
          <w:i w:val="0"/>
          <w:iCs w:val="0"/>
          <w:smallCaps w:val="0"/>
          <w:strike w:val="0"/>
          <w:color w:val="233447"/>
          <w:sz w:val="20"/>
          <w:szCs w:val="20"/>
          <w:u w:val="none"/>
          <w:shd w:fill="auto" w:val="clear"/>
          <w:vertAlign w:val="baseline"/>
          <w:rtl w:val="0"/>
        </w:rPr>
        <w:t xml:space="preserve">[Open question 4: identify an ownership, access-control, or tooling decision.]</w:t>
      </w:r>
      <w:r>
        <w:rPr>
          <w:rtl w:val="0"/>
        </w:rPr>
      </w:r>
    </w:p>
    <w:p w14:paraId="000000E2">
      <w:pPr>
        <w:pStyle w:val="Heading1"/>
        <w:spacing w:before="0" w:lineRule="auto"/>
        <w:rPr>
          <w:rFonts w:ascii="Helvetica Neue" w:cs="Helvetica Neue" w:eastAsia="Helvetica Neue" w:hAnsi="Helvetica Neue"/>
          <w:color w:val="000000"/>
        </w:rPr>
      </w:pPr>
      <w:r>
        <w:rPr>
          <w:rtl w:val="0"/>
        </w:rPr>
      </w:r>
    </w:p>
    <w:p w14:paraId="000000E3">
      <w:pPr>
        <w:pStyle w:val="Heading1"/>
        <w:rPr>
          <w:rFonts w:ascii="Helvetica Neue" w:cs="Helvetica Neue" w:eastAsia="Helvetica Neue" w:hAnsi="Helvetica Neue"/>
        </w:rPr>
      </w:pPr>
      <w:r>
        <w:rPr>
          <w:rFonts w:ascii="Helvetica Neue" w:cs="Helvetica Neue" w:eastAsia="Helvetica Neue" w:hAnsi="Helvetica Neue"/>
          <w:rtl w:val="0"/>
        </w:rPr>
        <w:t xml:space="preserve">12. Decision and Next Steps</w:t>
      </w:r>
    </w:p>
    <w:p w14:paraId="000000E4">
      <w:pPr>
        <w:spacing w:after="110" w:line="300" w:lineRule="auto"/>
        <w:jc w:val="both"/>
        <w:rPr>
          <w:rFonts w:ascii="Helvetica Neue" w:cs="Helvetica Neue" w:eastAsia="Helvetica Neue" w:hAnsi="Helvetica Neue"/>
        </w:rPr>
      </w:pPr>
      <w:r>
        <w:rPr>
          <w:rFonts w:ascii="Helvetica Neue" w:cs="Helvetica Neue" w:eastAsia="Helvetica Neue" w:hAnsi="Helvetica Neue"/>
          <w:color w:val="233447"/>
          <w:rtl w:val="0"/>
        </w:rPr>
        <w:t xml:space="preserve">[State the recommended decision and summarize the implementation sequence. Name the first milestone, the validation or dry-run stage, the initial production audience, and the conditions that must be met before broader rollout.]</w:t>
      </w:r>
      <w:r>
        <w:rPr>
          <w:rtl w:val="0"/>
        </w:rPr>
      </w:r>
    </w:p>
    <w:tbl>
      <w:tblPr>
        <w:tblStyle w:val="Table9"/>
        <w:tblW w:w="10440.0" w:type="dxa"/>
        <w:jc w:val="center"/>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2954"/>
        <w:gridCol w:w="3713"/>
        <w:gridCol w:w="3773"/>
        <w:tblGridChange w:id="0">
          <w:tblGrid>
            <w:gridCol w:w="2954"/>
            <w:gridCol w:w="3713"/>
            <w:gridCol w:w="3773"/>
          </w:tblGrid>
        </w:tblGridChange>
      </w:tblGrid>
      <w:tr>
        <w:trPr>
          <w:cantSplit w:val="1"/>
          <w:tblHeader w:val="1"/>
        </w:trPr>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E5">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Milestone</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E6">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Deliverable</w:t>
            </w:r>
            <w:r>
              <w:rPr>
                <w:rtl w:val="0"/>
              </w:rPr>
            </w:r>
          </w:p>
        </w:tc>
        <w:tc>
          <w:tcPr>
            <w:tcBorders>
              <w:top w:color="ffffff" w:space="0" w:sz="6" w:val="single"/>
              <w:left w:color="ffffff" w:space="0" w:sz="6" w:val="single"/>
              <w:bottom w:color="ffffff" w:space="0" w:sz="6" w:val="single"/>
              <w:right w:color="ffffff" w:space="0" w:sz="6" w:val="single"/>
            </w:tcBorders>
            <w:shd w:fill="082a4a" w:val="clear"/>
            <w:tcMar>
              <w:top w:w="110.0" w:type="dxa"/>
              <w:left w:w="120.0" w:type="dxa"/>
              <w:bottom w:w="110.0" w:type="dxa"/>
              <w:right w:w="120.0" w:type="dxa"/>
            </w:tcMar>
            <w:vAlign w:val="center"/>
          </w:tcPr>
          <w:p w14:paraId="000000E7">
            <w:pPr>
              <w:spacing w:after="0" w:before="20" w:line="265" w:lineRule="auto"/>
              <w:rPr>
                <w:rFonts w:ascii="Helvetica Neue" w:cs="Helvetica Neue" w:eastAsia="Helvetica Neue" w:hAnsi="Helvetica Neue"/>
              </w:rPr>
            </w:pPr>
            <w:r>
              <w:rPr>
                <w:rFonts w:ascii="Helvetica Neue" w:cs="Helvetica Neue" w:eastAsia="Helvetica Neue" w:hAnsi="Helvetica Neue"/>
                <w:b w:val="1"/>
                <w:bCs w:val="1"/>
                <w:color w:val="ffffff"/>
                <w:rtl w:val="0"/>
              </w:rPr>
              <w:t xml:space="preserve">Exit criteria</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E8">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M1</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E9">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[Foundational implementation or dry-run capability]</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EA">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[Measurable evidence that the foundation works safely]</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EB">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M2</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EC">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[Validation, tooling, migration, or audit capability]</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ED">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[Acceptance test or reconstruction criteria]</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EE">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M3</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EF">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[Limited production rollout]</w:t>
            </w:r>
            <w:r>
              <w:rPr>
                <w:rtl w:val="0"/>
              </w:rPr>
            </w:r>
          </w:p>
        </w:tc>
        <w:tc>
          <w:tcPr>
            <w:tcBorders>
              <w:top w:color="ffffff" w:space="0" w:sz="6" w:val="single"/>
              <w:left w:color="ffffff" w:space="0" w:sz="6" w:val="single"/>
              <w:bottom w:color="ffffff" w:space="0" w:sz="6" w:val="single"/>
              <w:right w:color="ffffff" w:space="0" w:sz="6" w:val="single"/>
            </w:tcBorders>
            <w:shd w:fill="ffffff" w:val="clear"/>
            <w:tcMar>
              <w:top w:w="110.0" w:type="dxa"/>
              <w:left w:w="120.0" w:type="dxa"/>
              <w:bottom w:w="110.0" w:type="dxa"/>
              <w:right w:w="120.0" w:type="dxa"/>
            </w:tcMar>
            <w:vAlign w:val="center"/>
          </w:tcPr>
          <w:p w14:paraId="000000F0">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[Stability period and severity threshold]</w:t>
            </w:r>
            <w:r>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e6f0f8" w:val="clear"/>
            <w:tcMar>
              <w:top w:w="110.0" w:type="dxa"/>
              <w:left w:w="120.0" w:type="dxa"/>
              <w:bottom w:w="110.0" w:type="dxa"/>
              <w:right w:w="120.0" w:type="dxa"/>
            </w:tcMar>
            <w:vAlign w:val="center"/>
          </w:tcPr>
          <w:p w14:paraId="000000F1">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M4</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F2">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[Broader customer or workload rollout]</w:t>
            </w:r>
            <w:r>
              <w:rPr>
                <w:rtl w:val="0"/>
              </w:rPr>
            </w:r>
          </w:p>
        </w:tc>
        <w:tc>
          <w:tcPr>
            <w:tcBorders>
              <w:top w:color="ffffff" w:space="0" w:sz="6" w:val="single"/>
              <w:left w:color="ffffff" w:space="0" w:sz="6" w:val="single"/>
              <w:bottom w:color="ffffff" w:space="0" w:sz="6" w:val="single"/>
              <w:right w:color="ffffff" w:space="0" w:sz="6" w:val="single"/>
            </w:tcBorders>
            <w:shd w:fill="f6f9fc" w:val="clear"/>
            <w:tcMar>
              <w:top w:w="110.0" w:type="dxa"/>
              <w:left w:w="120.0" w:type="dxa"/>
              <w:bottom w:w="110.0" w:type="dxa"/>
              <w:right w:w="120.0" w:type="dxa"/>
            </w:tcMar>
            <w:vAlign w:val="center"/>
          </w:tcPr>
          <w:p w14:paraId="000000F3">
            <w:pPr>
              <w:spacing w:after="25" w:before="20" w:line="285" w:lineRule="auto"/>
              <w:rPr>
                <w:rFonts w:ascii="Helvetica Neue" w:cs="Helvetica Neue" w:eastAsia="Helvetica Neue" w:hAnsi="Helvetica Neue"/>
              </w:rPr>
            </w:pPr>
            <w:r>
              <w:rPr>
                <w:rFonts w:ascii="Helvetica Neue" w:cs="Helvetica Neue" w:eastAsia="Helvetica Neue" w:hAnsi="Helvetica Neue"/>
                <w:color w:val="233447"/>
                <w:rtl w:val="0"/>
              </w:rPr>
              <w:t xml:space="preserve">[SLOs met, rollback tested, and approvals complete]</w:t>
            </w:r>
            <w:r>
              <w:rPr>
                <w:rtl w:val="0"/>
              </w:rPr>
            </w:r>
          </w:p>
        </w:tc>
      </w:tr>
    </w:tbl>
    <w:p w14:paraId="000000F4">
      <w:pPr>
        <w:spacing w:after="120" w:line="269" w:lineRule="auto"/>
        <w:rPr>
          <w:rFonts w:ascii="Helvetica Neue" w:cs="Helvetica Neue" w:eastAsia="Helvetica Neue" w:hAnsi="Helvetica Neue"/>
        </w:rPr>
      </w:pPr>
      <w:r>
        <w:rPr>
          <w:rtl w:val="0"/>
        </w:rPr>
      </w:r>
    </w:p>
    <w:sectPr>
      <w:headerReference r:id="rId10" w:type="default"/>
      <w:headerReference r:id="rId11" w:type="first"/>
      <w:footerReference r:id="rId12" w:type="default"/>
      <w:footerReference r:id="rId13" w:type="first"/>
      <w:pgSz w:h="15840" w:w="12240" w:orient="portrait"/>
      <w:pgMar w:bottom="893" w:top="1008" w:left="1008" w:right="1008"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F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60" w:lineRule="auto"/>
      <w:ind w:left="0" w:right="0" w:firstLine="0"/>
      <w:jc w:val="center"/>
      <w:rPr>
        <w:rFonts w:ascii="Arial" w:cs="Arial" w:eastAsia="Arial" w:hAnsi="Arial"/>
        <w:b w:val="0"/>
        <w:bCs w:val="0"/>
        <w:i w:val="0"/>
        <w:iCs w:val="0"/>
        <w:smallCaps w:val="0"/>
        <w:strike w:val="0"/>
        <w:color w:val="5b7085"/>
        <w:sz w:val="20"/>
        <w:szCs w:val="20"/>
        <w:u w:val="none"/>
        <w:shd w:fill="auto" w:val="clear"/>
        <w:vertAlign w:val="baseline"/>
      </w:rPr>
    </w:pPr>
    <w:r>
      <w:rPr>
        <w:rFonts w:ascii="Arial" w:cs="Arial" w:eastAsia="Arial" w:hAnsi="Arial"/>
        <w:b w:val="0"/>
        <w:bCs w:val="0"/>
        <w:i w:val="0"/>
        <w:iCs w:val="0"/>
        <w:smallCaps w:val="0"/>
        <w:strike w:val="0"/>
        <w:color w:val="5b7085"/>
        <w:sz w:val="16"/>
        <w:szCs w:val="16"/>
        <w:u w:val="none"/>
        <w:shd w:fill="auto" w:val="clear"/>
        <w:vertAlign w:val="baseline"/>
        <w:rtl w:val="0"/>
      </w:rPr>
      <w:t xml:space="preserve">[Organization Name] | System Design RFC</w:t>
    </w:r>
    <w:r>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F9">
    <w:pPr>
      <w:rPr/>
    </w:pPr>
    <w:r>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14:paraId="000000F5">
      <w:pPr>
        <w:spacing w:after="0" w:line="270" w:lineRule="auto"/>
        <w:jc w:val="both"/>
        <w:rPr/>
      </w:pPr>
      <w:r>
        <w:rPr>
          <w:rStyle w:val="FootnoteReference"/>
          <w:vertAlign w:val="superscript"/>
        </w:rPr>
        <w:footnoteRef/>
      </w:r>
      <w:r>
        <w:rPr>
          <w:color w:val="233447"/>
          <w:rtl w:val="0"/>
        </w:rPr>
        <w:t xml:space="preserve"> Use footnotes for definitions, assumptions, or terms that need precision without interrupting the main narrative.</w:t>
      </w:r>
      <w:r>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F6">
    <w:pPr>
      <w:rPr/>
    </w:pPr>
    <w:r>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F8">
    <w:pPr>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lowerLetter"/>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4">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33447"/>
        <w:lang w:val="en"/>
      </w:rPr>
    </w:rPrDefault>
    <w:pPrDefault>
      <w:pPr>
        <w:spacing w:after="110"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color="2f6b9a" w:space="2" w:sz="0" w:val="none"/>
        <w:left w:color="2f6b9a" w:space="2" w:sz="0" w:val="none"/>
        <w:bottom w:color="2f6b9a" w:space="2" w:sz="0" w:val="none"/>
        <w:right w:color="2f6b9a" w:space="2" w:sz="0" w:val="none"/>
      </w:pBdr>
      <w:spacing w:after="130" w:line="285" w:lineRule="auto"/>
    </w:pPr>
    <w:rPr>
      <w:b w:val="1"/>
      <w:bCs w:val="1"/>
      <w:color w:val="082a4a"/>
      <w:sz w:val="27"/>
      <w:szCs w:val="27"/>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smallCaps w:val="1"/>
      <w:color w:val="082a4a"/>
      <w:sz w:val="19"/>
      <w:szCs w:val="19"/>
    </w:rPr>
  </w:style>
  <w:style w:type="paragraph" w:styleId="Heading3">
    <w:name w:val="heading 3"/>
    <w:basedOn w:val="Normal"/>
    <w:next w:val="Normal"/>
    <w:pPr>
      <w:keepNext w:val="1"/>
      <w:keepLines w:val="1"/>
    </w:pPr>
    <w:rPr>
      <w:rFonts w:ascii="Helvetica Neue" w:cs="Helvetica Neue" w:eastAsia="Helvetica Neue" w:hAnsi="Helvetica Neue"/>
      <w:b w:val="1"/>
      <w:bCs w:val="1"/>
      <w:color w:val="5b7085"/>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082a4a"/>
    </w:rPr>
  </w:style>
  <w:style w:type="paragraph" w:styleId="Heading5">
    <w:name w:val="heading 5"/>
    <w:basedOn w:val="Normal"/>
    <w:next w:val="Normal"/>
    <w:pPr>
      <w:keepNext w:val="1"/>
      <w:keepLines w:val="1"/>
      <w:spacing w:after="0" w:before="200" w:lineRule="auto"/>
    </w:pPr>
    <w:rPr>
      <w:rFonts w:ascii="Calibri" w:cs="Calibri" w:eastAsia="Calibri" w:hAnsi="Calibri"/>
      <w:color w:val="082a4a"/>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082a4a"/>
    </w:rPr>
  </w:style>
  <w:style w:type="paragraph" w:styleId="Title">
    <w:name w:val="Title"/>
    <w:basedOn w:val="Normal"/>
    <w:next w:val="Normal"/>
    <w:pPr>
      <w:spacing w:after="150" w:lineRule="auto"/>
    </w:pPr>
    <w:rPr>
      <w:b w:val="1"/>
      <w:bCs w:val="1"/>
      <w:color w:val="082a4a"/>
      <w:sz w:val="44"/>
      <w:szCs w:val="44"/>
    </w:rPr>
  </w:style>
  <w:style w:type="paragraph" w:styleId="Subtitle">
    <w:name w:val="Subtitle"/>
    <w:basedOn w:val="Normal"/>
    <w:next w:val="Normal"/>
    <w:pPr/>
    <w:rPr>
      <w:rFonts w:ascii="Calibri" w:cs="Calibri" w:eastAsia="Calibri" w:hAnsi="Calibri"/>
      <w:i w:val="1"/>
      <w:iCs w:val="1"/>
      <w:color w:val="082a4a"/>
      <w:sz w:val="24"/>
      <w:szCs w:val="24"/>
    </w:rPr>
  </w:style>
  <w:style w:type="table" w:styleId="Table1">
    <w:basedOn w:val="TableNormal"/>
    <w:tblPr>
      <w:tblStyleRowBandSize w:val="1"/>
      <w:tblStyleColBandSize w:val="1"/>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xample.com/system-design/contracts" TargetMode="External"/><Relationship Id="rId5" Type="http://schemas.openxmlformats.org/officeDocument/2006/relationships/numbering" Target="numbering.xml"/><Relationship Id="rId6" Type="http://schemas.openxmlformats.org/officeDocument/2006/relationships/styles" Target="styles.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HelveticaNeueLight-regular.ttf"/><Relationship Id="rId6" Type="http://schemas.openxmlformats.org/officeDocument/2006/relationships/font" Target="fonts/HelveticaNeueLight-bold.ttf"/><Relationship Id="rId7" Type="http://schemas.openxmlformats.org/officeDocument/2006/relationships/font" Target="fonts/HelveticaNeueLight-italic.ttf"/><Relationship Id="rId8" Type="http://schemas.openxmlformats.org/officeDocument/2006/relationships/font" Target="fonts/HelveticaNeue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