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pStyle w:val="Heading2"/>
        <w:rPr>
          <w:color w:val="1a703a"/>
        </w:rPr>
      </w:pPr>
      <w:bookmarkStart w:colFirst="0" w:colLast="0" w:name="_heading=h.fuuxw87etzty" w:id="0"/>
      <w:bookmarkEnd w:id="0"/>
      <w:r>
        <w:rPr>
          <w:color w:val="1a703a"/>
          <w:rtl w:val="0"/>
        </w:rPr>
        <w:t xml:space="preserve">Experiment Report</w:t>
      </w:r>
    </w:p>
    <w:p w14:paraId="00000002">
      <w:pPr>
        <w:rPr>
          <w:rFonts w:ascii="Georgia" w:cs="Georgia" w:eastAsia="Georgia" w:hAnsi="Georgia"/>
          <w:color w:val="002715"/>
        </w:rPr>
      </w:pPr>
      <w:r>
        <w:rPr>
          <w:rtl w:val="0"/>
        </w:rPr>
      </w:r>
    </w:p>
    <w:p w14:paraId="00000003">
      <w:pPr>
        <w:rPr>
          <w:rFonts w:ascii="Georgia" w:cs="Georgia" w:eastAsia="Georgia" w:hAnsi="Georgia"/>
          <w:color w:val="002715"/>
        </w:rPr>
      </w:pPr>
      <w:r>
        <w:rPr>
          <w:rtl w:val="0"/>
        </w:rPr>
      </w:r>
    </w:p>
    <w:p w14:paraId="00000004">
      <w:pPr>
        <w:rPr>
          <w:rFonts w:ascii="Georgia" w:cs="Georgia" w:eastAsia="Georgia" w:hAnsi="Georgia"/>
          <w:color w:val="002715"/>
        </w:rPr>
      </w:pPr>
      <w:r>
        <w:rPr>
          <w:rtl w:val="0"/>
        </w:rPr>
      </w:r>
      <w:r>
        <mc:AlternateContent>
          <mc:Choice Requires="wpg">
            <w:drawing>
              <wp:anchor allowOverlap="1" behindDoc="0" distB="228600" distT="228600" distL="228600" distR="228600" hidden="0" layoutInCell="1" locked="0" relativeHeight="0" simplePos="0">
                <wp:simplePos x="0" y="0"/>
                <wp:positionH relativeFrom="column">
                  <wp:posOffset>2600325</wp:posOffset>
                </wp:positionH>
                <wp:positionV relativeFrom="paragraph">
                  <wp:posOffset>352425</wp:posOffset>
                </wp:positionV>
                <wp:extent cx="742950" cy="16449"/>
                <wp:effectExtent b="0" l="0" r="0" t="0"/>
                <wp:wrapTopAndBottom distB="228600" distT="2286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060250" y="3527350"/>
                          <a:ext cx="2563200" cy="33900"/>
                        </a:xfrm>
                        <a:prstGeom prst="rect">
                          <a:avLst/>
                        </a:prstGeom>
                        <a:solidFill>
                          <a:srgbClr val="1A703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228600" distT="228600" distL="228600" distR="228600" hidden="0" layoutInCell="1" locked="0" relativeHeight="0" simplePos="0">
                <wp:simplePos x="0" y="0"/>
                <wp:positionH relativeFrom="column">
                  <wp:posOffset>2600325</wp:posOffset>
                </wp:positionH>
                <wp:positionV relativeFrom="paragraph">
                  <wp:posOffset>352425</wp:posOffset>
                </wp:positionV>
                <wp:extent cx="742950" cy="16449"/>
                <wp:effectExtent b="0" l="0" r="0" t="0"/>
                <wp:wrapTopAndBottom distB="228600" distT="2286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950" cy="1644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05">
      <w:pPr>
        <w:rPr>
          <w:rFonts w:ascii="Georgia" w:cs="Georgia" w:eastAsia="Georgia" w:hAnsi="Georgia"/>
          <w:color w:val="002715"/>
        </w:rPr>
      </w:pPr>
      <w:r>
        <w:rPr>
          <w:rtl w:val="0"/>
        </w:rPr>
      </w:r>
    </w:p>
    <w:p w14:paraId="00000006">
      <w:pPr>
        <w:rPr>
          <w:rFonts w:ascii="Georgia" w:cs="Georgia" w:eastAsia="Georgia" w:hAnsi="Georgia"/>
          <w:color w:val="002715"/>
        </w:rPr>
      </w:pPr>
      <w:r>
        <w:rPr>
          <w:rtl w:val="0"/>
        </w:rPr>
      </w:r>
    </w:p>
    <w:p w14:paraId="00000007">
      <w:pPr>
        <w:pStyle w:val="Title"/>
        <w:rPr>
          <w:rFonts w:ascii="Georgia" w:cs="Georgia" w:eastAsia="Georgia" w:hAnsi="Georgia"/>
          <w:color w:val="1a703a"/>
        </w:rPr>
      </w:pPr>
      <w:r>
        <w:rPr>
          <w:rFonts w:ascii="Georgia" w:cs="Georgia" w:eastAsia="Georgia" w:hAnsi="Georgia"/>
          <w:color w:val="1a703a"/>
          <w:rtl w:val="0"/>
        </w:rPr>
        <w:t xml:space="preserve">Experiment </w:t>
      </w:r>
    </w:p>
    <w:p w14:paraId="00000008">
      <w:pPr>
        <w:pStyle w:val="Title"/>
        <w:rPr>
          <w:rFonts w:ascii="Georgia" w:cs="Georgia" w:eastAsia="Georgia" w:hAnsi="Georgia"/>
          <w:color w:val="1a703a"/>
        </w:rPr>
      </w:pPr>
      <w:r>
        <w:rPr>
          <w:rFonts w:ascii="Georgia" w:cs="Georgia" w:eastAsia="Georgia" w:hAnsi="Georgia"/>
          <w:color w:val="1a703a"/>
          <w:rtl w:val="0"/>
        </w:rPr>
        <w:t xml:space="preserve">Report Name</w:t>
      </w:r>
    </w:p>
    <w:p w14:paraId="00000009">
      <w:pPr>
        <w:pStyle w:val="Heading3"/>
        <w:rPr>
          <w:color w:val="105128"/>
        </w:rPr>
      </w:pPr>
      <w:bookmarkStart w:colFirst="0" w:colLast="0" w:name="_heading=h.vj0y3v9ru4fn" w:id="1"/>
      <w:bookmarkEnd w:id="1"/>
      <w:r>
        <w:rPr>
          <w:rtl w:val="0"/>
        </w:rPr>
      </w:r>
    </w:p>
    <w:p w14:paraId="0000000A">
      <w:pPr>
        <w:pStyle w:val="Heading3"/>
        <w:rPr>
          <w:color w:val="105128"/>
        </w:rPr>
      </w:pPr>
      <w:bookmarkStart w:colFirst="0" w:colLast="0" w:name="_heading=h.r64a6lc0ytip" w:id="2"/>
      <w:bookmarkEnd w:id="2"/>
      <w:r>
        <w:rPr>
          <w:rtl w:val="0"/>
        </w:rPr>
      </w:r>
    </w:p>
    <w:p w14:paraId="0000000B">
      <w:pPr>
        <w:pStyle w:val="Heading3"/>
        <w:rPr>
          <w:color w:val="105128"/>
        </w:rPr>
      </w:pPr>
      <w:bookmarkStart w:colFirst="0" w:colLast="0" w:name="_heading=h.8n89tlutz5i6" w:id="3"/>
      <w:bookmarkEnd w:id="3"/>
      <w:r>
        <w:rPr>
          <w:rtl w:val="0"/>
        </w:rPr>
      </w:r>
    </w:p>
    <w:p w14:paraId="0000000C">
      <w:pPr>
        <w:pStyle w:val="Heading3"/>
        <w:rPr>
          <w:color w:val="053b22"/>
        </w:rPr>
      </w:pPr>
      <w:bookmarkStart w:colFirst="0" w:colLast="0" w:name="_heading=h.rnjlnh61vquq" w:id="4"/>
      <w:bookmarkEnd w:id="4"/>
      <w:r>
        <w:rPr>
          <w:rtl w:val="0"/>
        </w:rPr>
      </w:r>
    </w:p>
    <w:p w14:paraId="0000000D">
      <w:pPr>
        <w:rPr>
          <w:color w:val="002715"/>
        </w:rPr>
      </w:pPr>
      <w:r>
        <w:rPr>
          <w:rtl w:val="0"/>
        </w:rPr>
      </w:r>
    </w:p>
    <w:p w14:paraId="0000000E">
      <w:pPr>
        <w:rPr>
          <w:color w:val="002715"/>
        </w:rPr>
      </w:pPr>
      <w:r>
        <w:rPr>
          <w:rtl w:val="0"/>
        </w:rPr>
      </w:r>
    </w:p>
    <w:p w14:paraId="0000000F">
      <w:pPr>
        <w:rPr>
          <w:color w:val="002715"/>
        </w:rPr>
      </w:pPr>
      <w:r>
        <w:rPr>
          <w:rtl w:val="0"/>
        </w:rPr>
      </w:r>
    </w:p>
    <w:p w14:paraId="00000010">
      <w:pPr>
        <w:rPr>
          <w:color w:val="002715"/>
        </w:rPr>
      </w:pPr>
      <w:r>
        <w:rPr>
          <w:rtl w:val="0"/>
        </w:rPr>
      </w:r>
    </w:p>
    <w:p w14:paraId="00000011">
      <w:pPr>
        <w:rPr>
          <w:color w:val="002715"/>
        </w:rPr>
      </w:pPr>
      <w:r>
        <w:rPr>
          <w:rtl w:val="0"/>
        </w:rPr>
      </w:r>
    </w:p>
    <w:p w14:paraId="00000012">
      <w:pPr>
        <w:rPr>
          <w:color w:val="002715"/>
        </w:rPr>
      </w:pPr>
      <w:r>
        <w:rPr>
          <w:rtl w:val="0"/>
        </w:rPr>
      </w:r>
    </w:p>
    <w:p w14:paraId="00000013">
      <w:pPr>
        <w:rPr>
          <w:color w:val="002715"/>
        </w:rPr>
      </w:pPr>
      <w:r>
        <w:rPr>
          <w:rtl w:val="0"/>
        </w:rPr>
      </w:r>
    </w:p>
    <w:p w14:paraId="00000014">
      <w:pPr>
        <w:rPr>
          <w:color w:val="002715"/>
        </w:rPr>
      </w:pPr>
      <w:r>
        <w:rPr>
          <w:rtl w:val="0"/>
        </w:rPr>
      </w:r>
    </w:p>
    <w:p w14:paraId="00000015">
      <w:pPr>
        <w:rPr>
          <w:color w:val="002715"/>
        </w:rPr>
      </w:pPr>
      <w:r>
        <w:rPr>
          <w:rtl w:val="0"/>
        </w:rPr>
      </w:r>
    </w:p>
    <w:p w14:paraId="00000016">
      <w:pPr>
        <w:rPr>
          <w:color w:val="002715"/>
        </w:rPr>
      </w:pPr>
      <w:r>
        <w:rPr>
          <w:rtl w:val="0"/>
        </w:rPr>
      </w:r>
    </w:p>
    <w:p w14:paraId="00000017">
      <w:pPr>
        <w:rPr>
          <w:color w:val="434343"/>
        </w:rPr>
      </w:pPr>
      <w:r>
        <w:rPr>
          <w:rtl w:val="0"/>
        </w:rPr>
      </w:r>
    </w:p>
    <w:p w14:paraId="00000018">
      <w:pPr>
        <w:pStyle w:val="Heading3"/>
        <w:rPr>
          <w:color w:val="000000"/>
        </w:rPr>
      </w:pPr>
      <w:bookmarkStart w:colFirst="0" w:colLast="0" w:name="_heading=h.a28c2t63c20t" w:id="5"/>
      <w:bookmarkEnd w:id="5"/>
      <w:r>
        <w:rPr>
          <w:color w:val="000000"/>
          <w:rtl w:val="0"/>
        </w:rPr>
        <w:t xml:space="preserve">Author</w:t>
      </w:r>
    </w:p>
    <w:p w14:paraId="00000019">
      <w:pPr>
        <w:pStyle w:val="Heading3"/>
        <w:rPr>
          <w:color w:val="000000"/>
        </w:rPr>
      </w:pPr>
      <w:bookmarkStart w:colFirst="0" w:colLast="0" w:name="_heading=h.io4lnv62zpnv" w:id="6"/>
      <w:bookmarkEnd w:id="6"/>
      <w:r>
        <w:rPr>
          <w:color w:val="000000"/>
          <w:rtl w:val="0"/>
        </w:rPr>
        <w:t xml:space="preserve">Month DD, YYYY</w:t>
      </w:r>
    </w:p>
    <w:p w14:paraId="0000001A">
      <w:pPr>
        <w:pStyle w:val="Heading3"/>
        <w:rPr>
          <w:color w:val="000000"/>
        </w:rPr>
      </w:pPr>
      <w:bookmarkStart w:colFirst="0" w:colLast="0" w:name="_heading=h.l0z5dez015hw" w:id="7"/>
      <w:bookmarkEnd w:id="7"/>
      <w:r>
        <w:br w:type="page"/>
      </w:r>
      <w:r>
        <w:rPr>
          <w:rtl w:val="0"/>
        </w:rPr>
      </w:r>
    </w:p>
    <w:p w14:paraId="0000001B">
      <w:pPr>
        <w:pStyle w:val="Heading1"/>
        <w:rPr/>
      </w:pPr>
      <w:r>
        <w:rPr>
          <w:rtl w:val="0"/>
        </w:rPr>
        <w:t xml:space="preserve">Document Control</w:t>
      </w:r>
    </w:p>
    <w:p w14:paraId="0000001C">
      <w:pPr>
        <w:rPr/>
      </w:pPr>
      <w:r>
        <w:rPr>
          <w:rtl w:val="0"/>
        </w:rPr>
      </w:r>
    </w:p>
    <w:tbl>
      <w:tblPr>
        <w:tblStyle w:val="Table1"/>
        <w:tblW w:w="9350.0" w:type="dxa"/>
        <w:jc w:val="left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999999" w:space="0" w:sz="4" w:val="single"/>
          <w:insideV w:color="999999" w:space="0" w:sz="4" w:val="single"/>
        </w:tblBorders>
        <w:tblLayout w:type="fixed"/>
        <w:tblLook w:val="0400"/>
      </w:tblPr>
      <w:tblGrid>
        <w:gridCol w:w="2405"/>
        <w:gridCol w:w="6945"/>
        <w:tblGridChange w:id="0">
          <w:tblGrid>
            <w:gridCol w:w="2405"/>
            <w:gridCol w:w="6945"/>
          </w:tblGrid>
        </w:tblGridChange>
      </w:tblGrid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1D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Version</w:t>
            </w:r>
          </w:p>
        </w:tc>
        <w:tc>
          <w:tcPr>
            <w:vAlign w:val="center"/>
          </w:tcPr>
          <w:p w14:paraId="0000001E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[Version]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1F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Prepared By</w:t>
            </w:r>
          </w:p>
        </w:tc>
        <w:tc>
          <w:tcPr>
            <w:vAlign w:val="center"/>
          </w:tcPr>
          <w:p w14:paraId="00000020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[Prepared by / team]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21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Reviewers</w:t>
            </w:r>
          </w:p>
        </w:tc>
        <w:tc>
          <w:tcPr>
            <w:vAlign w:val="center"/>
          </w:tcPr>
          <w:p w14:paraId="00000022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[Reviewer roles or names]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23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Date Prepared</w:t>
            </w:r>
          </w:p>
        </w:tc>
        <w:tc>
          <w:tcPr>
            <w:vAlign w:val="center"/>
          </w:tcPr>
          <w:p w14:paraId="00000024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[Date prepared]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25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Reporting Window</w:t>
            </w:r>
          </w:p>
        </w:tc>
        <w:tc>
          <w:tcPr>
            <w:vAlign w:val="center"/>
          </w:tcPr>
          <w:p w14:paraId="00000026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[Reporting start date] to [Reporting end date]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27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Status</w:t>
            </w:r>
          </w:p>
        </w:tc>
        <w:tc>
          <w:tcPr>
            <w:vAlign w:val="center"/>
          </w:tcPr>
          <w:p w14:paraId="00000028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[Draft / In review / Final]</w:t>
            </w:r>
          </w:p>
        </w:tc>
      </w:tr>
    </w:tbl>
    <w:p w14:paraId="00000029">
      <w:pPr>
        <w:rPr>
          <w:rFonts w:ascii="Georgia" w:cs="Georgia" w:eastAsia="Georgia" w:hAnsi="Georgia"/>
        </w:rPr>
      </w:pPr>
      <w:r>
        <w:rPr>
          <w:rtl w:val="0"/>
        </w:rPr>
      </w:r>
    </w:p>
    <w:p w14:paraId="0000002A">
      <w:pPr>
        <w:pStyle w:val="Heading1"/>
        <w:rPr/>
      </w:pPr>
      <w:r>
        <w:rPr>
          <w:rtl w:val="0"/>
        </w:rPr>
        <w:t xml:space="preserve">Purpose</w:t>
      </w:r>
    </w:p>
    <w:p w14:paraId="0000002B">
      <w:pPr>
        <w:spacing w:after="240" w:before="240" w:lineRule="auto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[Describe what this document records, including the experiment objective, execution, analysis, and decision it supports. Note the product surface and intended scope.]</w:t>
      </w:r>
    </w:p>
    <w:p w14:paraId="0000002C">
      <w:pPr>
        <w:spacing w:after="240" w:lineRule="auto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[Explain why this record is being maintained, who should use it, and how it supports auditability, replication, or future decision-making.]</w:t>
      </w:r>
    </w:p>
    <w:p w14:paraId="0000002D">
      <w:pPr>
        <w:spacing w:after="240" w:lineRule="auto"/>
        <w:jc w:val="both"/>
        <w:rPr>
          <w:rFonts w:ascii="Georgia" w:cs="Georgia" w:eastAsia="Georgia" w:hAnsi="Georgia"/>
        </w:rPr>
      </w:pPr>
      <w:r>
        <w:rPr>
          <w:rtl w:val="0"/>
        </w:rPr>
      </w:r>
    </w:p>
    <w:p w14:paraId="0000002E">
      <w:pPr>
        <w:pStyle w:val="Heading1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Business Context</w:t>
      </w:r>
    </w:p>
    <w:p w14:paraId="0000002F">
      <w:pPr>
        <w:spacing w:after="240" w:before="240" w:lineRule="auto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[Describe the company, product, user journey, and observed problem or opportunity. Summarize the evidence that motivated the experiment and where the issue appears in the experience.]</w:t>
      </w:r>
    </w:p>
    <w:p w14:paraId="00000030">
      <w:pPr>
        <w:spacing w:after="240" w:before="240" w:lineRule="auto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[Explain why this test surface and intervention were selected, including expected value, operational risk, reversibility, and any important alternatives that remained unchanged.]</w:t>
      </w:r>
    </w:p>
    <w:p w14:paraId="00000031">
      <w:pPr>
        <w:pStyle w:val="Heading1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Experiment Summary</w:t>
      </w:r>
    </w:p>
    <w:p w14:paraId="00000032">
      <w:pPr>
        <w:rPr>
          <w:rFonts w:ascii="Georgia" w:cs="Georgia" w:eastAsia="Georgia" w:hAnsi="Georgia"/>
        </w:rPr>
      </w:pPr>
      <w:r>
        <w:rPr>
          <w:rtl w:val="0"/>
        </w:rPr>
      </w:r>
    </w:p>
    <w:tbl>
      <w:tblPr>
        <w:tblStyle w:val="Table2"/>
        <w:tblW w:w="9350.0" w:type="dxa"/>
        <w:jc w:val="left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999999" w:space="0" w:sz="4" w:val="single"/>
          <w:insideV w:color="999999" w:space="0" w:sz="4" w:val="single"/>
        </w:tblBorders>
        <w:tblLayout w:type="fixed"/>
        <w:tblLook w:val="0400"/>
      </w:tblPr>
      <w:tblGrid>
        <w:gridCol w:w="2547"/>
        <w:gridCol w:w="6803"/>
        <w:tblGridChange w:id="0">
          <w:tblGrid>
            <w:gridCol w:w="2547"/>
            <w:gridCol w:w="6803"/>
          </w:tblGrid>
        </w:tblGridChange>
      </w:tblGrid>
      <w:tr>
        <w:trPr>
          <w:cantSplit w:val="0"/>
          <w:trHeight w:val="431.99999999999994" w:hRule="atLeast"/>
          <w:tblHeader w:val="0"/>
        </w:trPr>
        <w:tc>
          <w:tcPr>
            <w:shd w:fill="f3f3f3" w:val="clear"/>
            <w:vAlign w:val="center"/>
          </w:tcPr>
          <w:p w14:paraId="00000033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Field</w:t>
            </w:r>
          </w:p>
        </w:tc>
        <w:tc>
          <w:tcPr>
            <w:shd w:fill="f3f3f3" w:val="clear"/>
            <w:vAlign w:val="center"/>
          </w:tcPr>
          <w:p w14:paraId="00000034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Details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35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Experiment Name</w:t>
            </w:r>
          </w:p>
        </w:tc>
        <w:tc>
          <w:tcPr>
            <w:vAlign w:val="center"/>
          </w:tcPr>
          <w:p w14:paraId="00000036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[Experiment name]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37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Experiment Key</w:t>
            </w:r>
          </w:p>
        </w:tc>
        <w:tc>
          <w:tcPr>
            <w:vAlign w:val="center"/>
          </w:tcPr>
          <w:p w14:paraId="00000038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[Experiment key]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39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Owner Team</w:t>
            </w:r>
          </w:p>
        </w:tc>
        <w:tc>
          <w:tcPr>
            <w:vAlign w:val="center"/>
          </w:tcPr>
          <w:p w14:paraId="0000003A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[Owner team]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3B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Business Owner</w:t>
            </w:r>
          </w:p>
        </w:tc>
        <w:tc>
          <w:tcPr>
            <w:vAlign w:val="center"/>
          </w:tcPr>
          <w:p w14:paraId="0000003C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[Business owner]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3D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Product Surface</w:t>
            </w:r>
          </w:p>
        </w:tc>
        <w:tc>
          <w:tcPr>
            <w:vAlign w:val="center"/>
          </w:tcPr>
          <w:p w14:paraId="0000003E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[Product surface]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3F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Primary Objective</w:t>
            </w:r>
          </w:p>
        </w:tc>
        <w:tc>
          <w:tcPr>
            <w:vAlign w:val="center"/>
          </w:tcPr>
          <w:p w14:paraId="00000040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[Primary objective]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41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Control (Variant A)</w:t>
            </w:r>
          </w:p>
        </w:tc>
        <w:tc>
          <w:tcPr>
            <w:vAlign w:val="center"/>
          </w:tcPr>
          <w:p w14:paraId="00000042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[Describe the control experience]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43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Treatment (Variant B)</w:t>
            </w:r>
          </w:p>
        </w:tc>
        <w:tc>
          <w:tcPr>
            <w:vAlign w:val="center"/>
          </w:tcPr>
          <w:p w14:paraId="00000044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[Describe the treatment experience]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45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Allocation</w:t>
            </w:r>
          </w:p>
        </w:tc>
        <w:tc>
          <w:tcPr>
            <w:vAlign w:val="center"/>
          </w:tcPr>
          <w:p w14:paraId="00000046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[Variant allocation]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47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Unit of Randomization</w:t>
            </w:r>
          </w:p>
        </w:tc>
        <w:tc>
          <w:tcPr>
            <w:vAlign w:val="center"/>
          </w:tcPr>
          <w:p w14:paraId="00000048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[Randomization unit]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49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Audience</w:t>
            </w:r>
          </w:p>
        </w:tc>
        <w:tc>
          <w:tcPr>
            <w:vAlign w:val="center"/>
          </w:tcPr>
          <w:p w14:paraId="0000004A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[Eligible audience]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4B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Exclusions</w:t>
            </w:r>
          </w:p>
        </w:tc>
        <w:tc>
          <w:tcPr>
            <w:vAlign w:val="center"/>
          </w:tcPr>
          <w:p w14:paraId="0000004C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[Traffic or user exclusions]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4D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Start Date</w:t>
            </w:r>
          </w:p>
        </w:tc>
        <w:tc>
          <w:tcPr>
            <w:vAlign w:val="center"/>
          </w:tcPr>
          <w:p w14:paraId="0000004E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[Start date]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4F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End Date</w:t>
            </w:r>
          </w:p>
        </w:tc>
        <w:tc>
          <w:tcPr>
            <w:vAlign w:val="center"/>
          </w:tcPr>
          <w:p w14:paraId="00000050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[End date]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51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Planned Runtime</w:t>
            </w:r>
          </w:p>
        </w:tc>
        <w:tc>
          <w:tcPr>
            <w:vAlign w:val="center"/>
          </w:tcPr>
          <w:p w14:paraId="00000052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[Planned runtime]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53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Actual Runtime</w:t>
            </w:r>
          </w:p>
        </w:tc>
        <w:tc>
          <w:tcPr>
            <w:vAlign w:val="center"/>
          </w:tcPr>
          <w:p w14:paraId="00000054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[Actual runtime]</w:t>
            </w:r>
          </w:p>
        </w:tc>
      </w:tr>
    </w:tbl>
    <w:p w14:paraId="00000055">
      <w:pPr>
        <w:rPr>
          <w:rFonts w:ascii="Georgia" w:cs="Georgia" w:eastAsia="Georgia" w:hAnsi="Georgia"/>
        </w:rPr>
      </w:pPr>
      <w:r>
        <w:rPr>
          <w:rtl w:val="0"/>
        </w:rPr>
      </w:r>
    </w:p>
    <w:p w14:paraId="00000056">
      <w:pPr>
        <w:pStyle w:val="Heading1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Design Notes</w:t>
      </w:r>
    </w:p>
    <w:p w14:paraId="00000057">
      <w:pPr>
        <w:spacing w:after="240" w:before="240" w:lineRule="auto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[Describe the experimental design and the single change being tested. Explain how the design supports causal interpretation and which elements remained unchanged.]</w:t>
      </w:r>
    </w:p>
    <w:p w14:paraId="00000058">
      <w:pPr>
        <w:spacing w:after="240" w:before="240" w:lineRule="auto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[Describe eligibility, assignment, exclusions, runtime, and other choices made to reduce contamination or bias. Note any platform, geography, or device constraints.]</w:t>
      </w:r>
    </w:p>
    <w:p w14:paraId="00000059">
      <w:pPr>
        <w:spacing w:after="240" w:before="240" w:lineRule="auto"/>
        <w:jc w:val="both"/>
        <w:rPr>
          <w:rFonts w:ascii="Georgia" w:cs="Georgia" w:eastAsia="Georgia" w:hAnsi="Georgia"/>
        </w:rPr>
      </w:pPr>
      <w:r>
        <w:rPr>
          <w:rtl w:val="0"/>
        </w:rPr>
      </w:r>
    </w:p>
    <w:p w14:paraId="0000005A">
      <w:pPr>
        <w:pStyle w:val="Heading1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Hypothesis</w:t>
      </w:r>
    </w:p>
    <w:p w14:paraId="0000005B">
      <w:pPr>
        <w:spacing w:after="240" w:before="240" w:lineRule="auto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[Write an if/then hypothesis naming the control, treatment, audience, expected metric direction, and causal rationale.]</w:t>
      </w:r>
    </w:p>
    <w:p w14:paraId="0000005C">
      <w:pPr>
        <w:spacing w:after="240" w:before="240" w:lineRule="auto"/>
        <w:jc w:val="both"/>
        <w:rPr>
          <w:rFonts w:ascii="Georgia" w:cs="Georgia" w:eastAsia="Georgia" w:hAnsi="Georgia"/>
        </w:rPr>
      </w:pPr>
      <w:r>
        <w:rPr>
          <w:rtl w:val="0"/>
        </w:rPr>
      </w:r>
    </w:p>
    <w:p w14:paraId="0000005D">
      <w:pPr>
        <w:pStyle w:val="Heading1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Success Criteria</w:t>
      </w:r>
    </w:p>
    <w:p w14:paraId="0000005E">
      <w:pPr>
        <w:spacing w:after="240" w:before="240" w:lineRule="auto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[Define the primary success metric, guardrail metrics, decision thresholds, and the conditions required to declare a winner or proceed.]</w:t>
      </w:r>
    </w:p>
    <w:tbl>
      <w:tblPr>
        <w:tblStyle w:val="Table3"/>
        <w:tblW w:w="9350.0" w:type="dxa"/>
        <w:jc w:val="center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999999" w:space="0" w:sz="4" w:val="single"/>
          <w:insideV w:color="999999" w:space="0" w:sz="4" w:val="single"/>
        </w:tblBorders>
        <w:tblLayout w:type="fixed"/>
        <w:tblLook w:val="0400"/>
      </w:tblPr>
      <w:tblGrid>
        <w:gridCol w:w="2405"/>
        <w:gridCol w:w="6945"/>
        <w:tblGridChange w:id="0">
          <w:tblGrid>
            <w:gridCol w:w="2405"/>
            <w:gridCol w:w="6945"/>
          </w:tblGrid>
        </w:tblGridChange>
      </w:tblGrid>
      <w:tr>
        <w:trPr>
          <w:cantSplit w:val="0"/>
          <w:trHeight w:val="431.99999999999994" w:hRule="atLeast"/>
          <w:tblHeader w:val="0"/>
        </w:trPr>
        <w:tc>
          <w:tcPr>
            <w:shd w:fill="f3f3f3" w:val="clear"/>
            <w:vAlign w:val="center"/>
          </w:tcPr>
          <w:p w14:paraId="0000005F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Metric</w:t>
            </w:r>
          </w:p>
        </w:tc>
        <w:tc>
          <w:tcPr>
            <w:shd w:fill="f3f3f3" w:val="clear"/>
            <w:vAlign w:val="center"/>
          </w:tcPr>
          <w:p w14:paraId="00000060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Target/Rule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61">
            <w:pPr>
              <w:jc w:val="both"/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Primary Metric</w:t>
            </w:r>
          </w:p>
        </w:tc>
        <w:tc>
          <w:tcPr>
            <w:vAlign w:val="center"/>
          </w:tcPr>
          <w:p w14:paraId="00000062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[Define the primary metric threshold and statistical decision rule]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63">
            <w:pPr>
              <w:jc w:val="both"/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Guardrail 1</w:t>
            </w:r>
          </w:p>
        </w:tc>
        <w:tc>
          <w:tcPr>
            <w:vAlign w:val="center"/>
          </w:tcPr>
          <w:p w14:paraId="00000064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[Define guardrail metric and acceptable threshold]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65">
            <w:pPr>
              <w:jc w:val="both"/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Guardrail 2</w:t>
            </w:r>
          </w:p>
        </w:tc>
        <w:tc>
          <w:tcPr>
            <w:vAlign w:val="center"/>
          </w:tcPr>
          <w:p w14:paraId="00000066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[Define guardrail metric and acceptable threshold]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67">
            <w:pPr>
              <w:jc w:val="both"/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Guardrail 3</w:t>
            </w:r>
          </w:p>
        </w:tc>
        <w:tc>
          <w:tcPr>
            <w:vAlign w:val="center"/>
          </w:tcPr>
          <w:p w14:paraId="00000068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[Define guardrail metric and acceptable threshold]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69">
            <w:pPr>
              <w:jc w:val="both"/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Decision Rule</w:t>
            </w:r>
          </w:p>
        </w:tc>
        <w:tc>
          <w:tcPr>
            <w:vAlign w:val="center"/>
          </w:tcPr>
          <w:p w14:paraId="0000006A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[State the full launch, hold, or rollback rule]</w:t>
            </w:r>
          </w:p>
        </w:tc>
      </w:tr>
    </w:tbl>
    <w:p w14:paraId="0000006B">
      <w:pPr>
        <w:rPr>
          <w:rFonts w:ascii="Georgia" w:cs="Georgia" w:eastAsia="Georgia" w:hAnsi="Georgia"/>
        </w:rPr>
      </w:pPr>
      <w:r>
        <w:rPr>
          <w:rtl w:val="0"/>
        </w:rPr>
      </w:r>
    </w:p>
    <w:p w14:paraId="0000006C">
      <w:pPr>
        <w:pStyle w:val="Heading1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Pre-Launch Validation</w:t>
      </w:r>
    </w:p>
    <w:p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[Confirm that only the intended treatment differs between variants.]</w:t>
      </w:r>
      <w:r>
        <w:rPr>
          <w:rtl w:val="0"/>
        </w:rPr>
      </w:r>
    </w:p>
    <w:p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[Confirm assignment persistence, randomization unit, and allocation logic.]</w:t>
      </w:r>
      <w:r>
        <w:rPr>
          <w:rtl w:val="0"/>
        </w:rPr>
      </w:r>
    </w:p>
    <w:p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[Validate exposure, outcome, and guardrail instrumentation.]</w:t>
      </w:r>
      <w:r>
        <w:rPr>
          <w:rtl w:val="0"/>
        </w:rPr>
      </w:r>
    </w:p>
    <w:p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[Document traffic exclusions and data-quality filters.]</w:t>
      </w:r>
      <w:r>
        <w:rPr>
          <w:rtl w:val="0"/>
        </w:rPr>
      </w:r>
    </w:p>
    <w:p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hanging="360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[Record staging, A/A, or other pre-launch validation results.]</w:t>
      </w:r>
      <w:r>
        <w:rPr>
          <w:rtl w:val="0"/>
        </w:rPr>
      </w:r>
    </w:p>
    <w:p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right="0"/>
        <w:jc w:val="both"/>
        <w:rPr>
          <w:rFonts w:ascii="Georgia" w:cs="Georgia" w:eastAsia="Georgia" w:hAnsi="Georgia"/>
        </w:rPr>
      </w:pPr>
      <w:r>
        <w:rPr>
          <w:rtl w:val="0"/>
        </w:rPr>
      </w:r>
    </w:p>
    <w:p w14:paraId="00000073">
      <w:pPr>
        <w:pStyle w:val="Heading1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Sample and Exposure Summary</w:t>
      </w:r>
    </w:p>
    <w:p w14:paraId="00000074">
      <w:pPr>
        <w:spacing w:after="240" w:before="240" w:lineRule="auto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[Summarize achieved sample size, exposure balance, runtime, and any sample-ratio or eligibility findings. State whether the data are suitable for analysis.]</w:t>
      </w:r>
    </w:p>
    <w:tbl>
      <w:tblPr>
        <w:tblStyle w:val="Table4"/>
        <w:tblW w:w="9350.0" w:type="dxa"/>
        <w:jc w:val="left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999999" w:space="0" w:sz="4" w:val="single"/>
          <w:insideV w:color="999999" w:space="0" w:sz="4" w:val="single"/>
        </w:tblBorders>
        <w:tblLayout w:type="fixed"/>
        <w:tblLook w:val="0400"/>
      </w:tblPr>
      <w:tblGrid>
        <w:gridCol w:w="3823"/>
        <w:gridCol w:w="2693"/>
        <w:gridCol w:w="2834"/>
        <w:tblGridChange w:id="0">
          <w:tblGrid>
            <w:gridCol w:w="3823"/>
            <w:gridCol w:w="2693"/>
            <w:gridCol w:w="2834"/>
          </w:tblGrid>
        </w:tblGridChange>
      </w:tblGrid>
      <w:tr>
        <w:trPr>
          <w:cantSplit w:val="0"/>
          <w:trHeight w:val="431.99999999999994" w:hRule="atLeast"/>
          <w:tblHeader w:val="0"/>
        </w:trPr>
        <w:tc>
          <w:tcPr>
            <w:shd w:fill="f3f3f3" w:val="clear"/>
            <w:vAlign w:val="center"/>
          </w:tcPr>
          <w:p w14:paraId="00000075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Metric</w:t>
            </w:r>
          </w:p>
        </w:tc>
        <w:tc>
          <w:tcPr>
            <w:shd w:fill="f3f3f3" w:val="clear"/>
            <w:vAlign w:val="center"/>
          </w:tcPr>
          <w:p w14:paraId="00000076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Variant A (Control)</w:t>
            </w:r>
          </w:p>
        </w:tc>
        <w:tc>
          <w:tcPr>
            <w:shd w:fill="f3f3f3" w:val="clear"/>
            <w:vAlign w:val="center"/>
          </w:tcPr>
          <w:p w14:paraId="00000077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Variant B (Treatment)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78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[Sample metric 1]</w:t>
            </w:r>
          </w:p>
        </w:tc>
        <w:tc>
          <w:tcPr>
            <w:vAlign w:val="center"/>
          </w:tcPr>
          <w:p w14:paraId="00000079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[Variant A value]</w:t>
            </w:r>
          </w:p>
        </w:tc>
        <w:tc>
          <w:tcPr>
            <w:vAlign w:val="center"/>
          </w:tcPr>
          <w:p w14:paraId="0000007A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[Variant B value]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7B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[Sample metric 2]</w:t>
            </w:r>
          </w:p>
        </w:tc>
        <w:tc>
          <w:tcPr>
            <w:vAlign w:val="center"/>
          </w:tcPr>
          <w:p w14:paraId="0000007C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[Variant A value]</w:t>
            </w:r>
          </w:p>
        </w:tc>
        <w:tc>
          <w:tcPr>
            <w:vAlign w:val="center"/>
          </w:tcPr>
          <w:p w14:paraId="0000007D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[Variant B value]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7E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[Outcome count]</w:t>
            </w:r>
          </w:p>
        </w:tc>
        <w:tc>
          <w:tcPr>
            <w:vAlign w:val="center"/>
          </w:tcPr>
          <w:p w14:paraId="0000007F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[Variant A value]</w:t>
            </w:r>
          </w:p>
        </w:tc>
        <w:tc>
          <w:tcPr>
            <w:vAlign w:val="center"/>
          </w:tcPr>
          <w:p w14:paraId="00000080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[Variant B value]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81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[Exposure or allocation share]</w:t>
            </w:r>
          </w:p>
        </w:tc>
        <w:tc>
          <w:tcPr>
            <w:vAlign w:val="center"/>
          </w:tcPr>
          <w:p w14:paraId="00000082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[Variant A value]</w:t>
            </w:r>
          </w:p>
        </w:tc>
        <w:tc>
          <w:tcPr>
            <w:vAlign w:val="center"/>
          </w:tcPr>
          <w:p w14:paraId="00000083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[Variant B value]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84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Sample Ratio Check</w:t>
            </w:r>
          </w:p>
        </w:tc>
        <w:tc>
          <w:tcPr>
            <w:vAlign w:val="center"/>
          </w:tcPr>
          <w:p w14:paraId="00000085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[Pass / Fail]</w:t>
            </w:r>
          </w:p>
        </w:tc>
        <w:tc>
          <w:tcPr>
            <w:vAlign w:val="center"/>
          </w:tcPr>
          <w:p w14:paraId="00000086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[Pass / Fail]</w:t>
            </w:r>
          </w:p>
        </w:tc>
      </w:tr>
    </w:tbl>
    <w:p w14:paraId="00000087">
      <w:pPr>
        <w:spacing w:after="240" w:before="240" w:lineRule="auto"/>
        <w:rPr>
          <w:rFonts w:ascii="Georgia" w:cs="Georgia" w:eastAsia="Georgia" w:hAnsi="Georgia"/>
        </w:rPr>
      </w:pPr>
      <w:r>
        <w:rPr>
          <w:rtl w:val="0"/>
        </w:rPr>
      </w:r>
    </w:p>
    <w:p w14:paraId="00000088">
      <w:pPr>
        <w:pStyle w:val="Heading1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Primary Outcome</w:t>
      </w:r>
    </w:p>
    <w:p w14:paraId="00000089">
      <w:pPr>
        <w:rPr>
          <w:rFonts w:ascii="Georgia" w:cs="Georgia" w:eastAsia="Georgia" w:hAnsi="Georgia"/>
        </w:rPr>
      </w:pPr>
      <w:r>
        <w:rPr>
          <w:rtl w:val="0"/>
        </w:rPr>
      </w:r>
    </w:p>
    <w:tbl>
      <w:tblPr>
        <w:tblStyle w:val="Table5"/>
        <w:tblW w:w="9350.0" w:type="dxa"/>
        <w:jc w:val="left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999999" w:space="0" w:sz="4" w:val="single"/>
          <w:insideV w:color="999999" w:space="0" w:sz="4" w:val="single"/>
        </w:tblBorders>
        <w:tblLayout w:type="fixed"/>
        <w:tblLook w:val="0400"/>
      </w:tblPr>
      <w:tblGrid>
        <w:gridCol w:w="1870"/>
        <w:gridCol w:w="1870"/>
        <w:gridCol w:w="1870"/>
        <w:gridCol w:w="1870"/>
        <w:gridCol w:w="1870"/>
        <w:tblGridChange w:id="0">
          <w:tblGrid>
            <w:gridCol w:w="1870"/>
            <w:gridCol w:w="1870"/>
            <w:gridCol w:w="1870"/>
            <w:gridCol w:w="1870"/>
            <w:gridCol w:w="1870"/>
          </w:tblGrid>
        </w:tblGridChange>
      </w:tblGrid>
      <w:tr>
        <w:trPr>
          <w:cantSplit w:val="0"/>
          <w:trHeight w:val="431.99999999999994" w:hRule="atLeast"/>
          <w:tblHeader w:val="0"/>
        </w:trPr>
        <w:tc>
          <w:tcPr>
            <w:shd w:fill="f3f3f3" w:val="clear"/>
            <w:vAlign w:val="center"/>
          </w:tcPr>
          <w:p w14:paraId="0000008A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Measure</w:t>
            </w:r>
          </w:p>
        </w:tc>
        <w:tc>
          <w:tcPr>
            <w:shd w:fill="f3f3f3" w:val="clear"/>
            <w:vAlign w:val="center"/>
          </w:tcPr>
          <w:p w14:paraId="0000008B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Variant A</w:t>
            </w:r>
          </w:p>
        </w:tc>
        <w:tc>
          <w:tcPr>
            <w:shd w:fill="f3f3f3" w:val="clear"/>
            <w:vAlign w:val="center"/>
          </w:tcPr>
          <w:p w14:paraId="0000008C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Variant B</w:t>
            </w:r>
          </w:p>
        </w:tc>
        <w:tc>
          <w:tcPr>
            <w:shd w:fill="f3f3f3" w:val="clear"/>
            <w:vAlign w:val="center"/>
          </w:tcPr>
          <w:p w14:paraId="0000008D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Absolute Delta</w:t>
            </w:r>
          </w:p>
        </w:tc>
        <w:tc>
          <w:tcPr>
            <w:shd w:fill="f3f3f3" w:val="clear"/>
            <w:vAlign w:val="center"/>
          </w:tcPr>
          <w:p w14:paraId="0000008E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Relative Delta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8F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[Primary outcome metric]</w:t>
            </w:r>
          </w:p>
        </w:tc>
        <w:tc>
          <w:tcPr>
            <w:vAlign w:val="center"/>
          </w:tcPr>
          <w:p w14:paraId="00000090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[Variant A value]</w:t>
            </w:r>
          </w:p>
        </w:tc>
        <w:tc>
          <w:tcPr>
            <w:vAlign w:val="center"/>
          </w:tcPr>
          <w:p w14:paraId="00000091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[Variant B value]</w:t>
            </w:r>
          </w:p>
        </w:tc>
        <w:tc>
          <w:tcPr>
            <w:vAlign w:val="center"/>
          </w:tcPr>
          <w:p w14:paraId="00000092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[Absolute delta]</w:t>
            </w:r>
          </w:p>
        </w:tc>
        <w:tc>
          <w:tcPr>
            <w:vAlign w:val="center"/>
          </w:tcPr>
          <w:p w14:paraId="00000093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[Relative delta]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94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95% Confidence Interval</w:t>
            </w:r>
          </w:p>
        </w:tc>
        <w:tc>
          <w:tcPr>
            <w:vAlign w:val="center"/>
          </w:tcPr>
          <w:p w14:paraId="00000095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[N/A if not applicable]</w:t>
            </w:r>
          </w:p>
        </w:tc>
        <w:tc>
          <w:tcPr>
            <w:vAlign w:val="center"/>
          </w:tcPr>
          <w:p w14:paraId="00000096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[N/A if not applicable]</w:t>
            </w:r>
          </w:p>
        </w:tc>
        <w:tc>
          <w:tcPr>
            <w:vAlign w:val="center"/>
          </w:tcPr>
          <w:p w14:paraId="00000097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[Confidence interval]</w:t>
            </w:r>
          </w:p>
        </w:tc>
        <w:tc>
          <w:tcPr>
            <w:vAlign w:val="center"/>
          </w:tcPr>
          <w:p w14:paraId="00000098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[N/A if not applicable]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99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Two-Sided p-value</w:t>
            </w:r>
          </w:p>
        </w:tc>
        <w:tc>
          <w:tcPr>
            <w:vAlign w:val="center"/>
          </w:tcPr>
          <w:p w14:paraId="0000009A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[N/A if not applicable]</w:t>
            </w:r>
          </w:p>
        </w:tc>
        <w:tc>
          <w:tcPr>
            <w:vAlign w:val="center"/>
          </w:tcPr>
          <w:p w14:paraId="0000009B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[N/A if not applicable]</w:t>
            </w:r>
          </w:p>
        </w:tc>
        <w:tc>
          <w:tcPr>
            <w:vAlign w:val="center"/>
          </w:tcPr>
          <w:p w14:paraId="0000009C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[p-value]</w:t>
            </w:r>
          </w:p>
        </w:tc>
        <w:tc>
          <w:tcPr>
            <w:vAlign w:val="center"/>
          </w:tcPr>
          <w:p w14:paraId="0000009D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[N/A if not applicable]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9E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Outcome Narrative</w:t>
            </w:r>
          </w:p>
        </w:tc>
        <w:tc>
          <w:tcPr>
            <w:vAlign w:val="center"/>
          </w:tcPr>
          <w:p w14:paraId="0000009F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[N/A]</w:t>
            </w:r>
          </w:p>
        </w:tc>
        <w:tc>
          <w:tcPr>
            <w:vAlign w:val="center"/>
          </w:tcPr>
          <w:p w14:paraId="000000A0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[N/A]</w:t>
            </w:r>
          </w:p>
        </w:tc>
        <w:tc>
          <w:tcPr>
            <w:vAlign w:val="center"/>
          </w:tcPr>
          <w:p w14:paraId="000000A1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[Describe effect and practical significance]</w:t>
            </w:r>
          </w:p>
        </w:tc>
        <w:tc>
          <w:tcPr>
            <w:vAlign w:val="center"/>
          </w:tcPr>
          <w:p w14:paraId="000000A2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[N/A]</w:t>
            </w:r>
          </w:p>
        </w:tc>
      </w:tr>
    </w:tbl>
    <w:p w14:paraId="000000A3">
      <w:pPr>
        <w:spacing w:after="240" w:before="240" w:lineRule="auto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[Summarize the primary metric result, uncertainty, statistical significance, and practical effect size. Avoid claims beyond the experiment scope.]</w:t>
      </w:r>
    </w:p>
    <w:p w14:paraId="000000A4">
      <w:pPr>
        <w:spacing w:after="160" w:line="278.00000000000006" w:lineRule="auto"/>
        <w:rPr>
          <w:rFonts w:ascii="Georgia" w:cs="Georgia" w:eastAsia="Georgia" w:hAnsi="Georgia"/>
        </w:rPr>
      </w:pPr>
      <w:r>
        <w:rPr>
          <w:rtl w:val="0"/>
        </w:rPr>
      </w:r>
    </w:p>
    <w:p w14:paraId="000000A5">
      <w:pPr>
        <w:pStyle w:val="Heading1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Guardrail Metrics</w:t>
      </w:r>
    </w:p>
    <w:p w14:paraId="000000A6">
      <w:pPr>
        <w:rPr>
          <w:rFonts w:ascii="Georgia" w:cs="Georgia" w:eastAsia="Georgia" w:hAnsi="Georgia"/>
        </w:rPr>
      </w:pPr>
      <w:r>
        <w:rPr>
          <w:rtl w:val="0"/>
        </w:rPr>
      </w:r>
    </w:p>
    <w:tbl>
      <w:tblPr>
        <w:tblStyle w:val="Table6"/>
        <w:tblW w:w="9350.000000000002" w:type="dxa"/>
        <w:jc w:val="left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999999" w:space="0" w:sz="4" w:val="single"/>
          <w:insideV w:color="999999" w:space="0" w:sz="4" w:val="single"/>
        </w:tblBorders>
        <w:tblLayout w:type="fixed"/>
        <w:tblLook w:val="0400"/>
      </w:tblPr>
      <w:tblGrid>
        <w:gridCol w:w="2263"/>
        <w:gridCol w:w="1843"/>
        <w:gridCol w:w="1843"/>
        <w:gridCol w:w="1701"/>
        <w:gridCol w:w="1700"/>
        <w:tblGridChange w:id="0">
          <w:tblGrid>
            <w:gridCol w:w="2263"/>
            <w:gridCol w:w="1843"/>
            <w:gridCol w:w="1843"/>
            <w:gridCol w:w="1701"/>
            <w:gridCol w:w="1700"/>
          </w:tblGrid>
        </w:tblGridChange>
      </w:tblGrid>
      <w:tr>
        <w:trPr>
          <w:cantSplit w:val="0"/>
          <w:trHeight w:val="431.99999999999994" w:hRule="atLeast"/>
          <w:tblHeader w:val="0"/>
        </w:trPr>
        <w:tc>
          <w:tcPr>
            <w:shd w:fill="f3f3f3" w:val="clear"/>
            <w:vAlign w:val="center"/>
          </w:tcPr>
          <w:p w14:paraId="000000A7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Guardrail Metric</w:t>
            </w:r>
          </w:p>
        </w:tc>
        <w:tc>
          <w:tcPr>
            <w:shd w:fill="f3f3f3" w:val="clear"/>
            <w:vAlign w:val="center"/>
          </w:tcPr>
          <w:p w14:paraId="000000A8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Variant A</w:t>
            </w:r>
          </w:p>
        </w:tc>
        <w:tc>
          <w:tcPr>
            <w:shd w:fill="f3f3f3" w:val="clear"/>
            <w:vAlign w:val="center"/>
          </w:tcPr>
          <w:p w14:paraId="000000A9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Variant B</w:t>
            </w:r>
          </w:p>
        </w:tc>
        <w:tc>
          <w:tcPr>
            <w:shd w:fill="f3f3f3" w:val="clear"/>
            <w:vAlign w:val="center"/>
          </w:tcPr>
          <w:p w14:paraId="000000AA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Delta</w:t>
            </w:r>
          </w:p>
        </w:tc>
        <w:tc>
          <w:tcPr>
            <w:shd w:fill="f3f3f3" w:val="clear"/>
            <w:vAlign w:val="center"/>
          </w:tcPr>
          <w:p w14:paraId="000000AB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Status</w:t>
            </w:r>
          </w:p>
        </w:tc>
      </w:tr>
      <w:tr>
        <w:trPr>
          <w:cantSplit w:val="0"/>
          <w:trHeight w:val="446.9921875" w:hRule="atLeast"/>
          <w:tblHeader w:val="0"/>
        </w:trPr>
        <w:tc>
          <w:tcPr>
            <w:vAlign w:val="center"/>
          </w:tcPr>
          <w:p w14:paraId="000000AC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[Guardrail metric 1]</w:t>
            </w:r>
          </w:p>
        </w:tc>
        <w:tc>
          <w:tcPr>
            <w:vAlign w:val="center"/>
          </w:tcPr>
          <w:p w14:paraId="000000AD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[Variant A value]</w:t>
            </w:r>
          </w:p>
        </w:tc>
        <w:tc>
          <w:tcPr>
            <w:vAlign w:val="center"/>
          </w:tcPr>
          <w:p w14:paraId="000000AE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[Variant B value]</w:t>
            </w:r>
          </w:p>
        </w:tc>
        <w:tc>
          <w:tcPr>
            <w:vAlign w:val="center"/>
          </w:tcPr>
          <w:p w14:paraId="000000AF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[Delta]</w:t>
            </w:r>
          </w:p>
        </w:tc>
        <w:tc>
          <w:tcPr>
            <w:vAlign w:val="center"/>
          </w:tcPr>
          <w:p w14:paraId="000000B0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[Pass / Fail]</w:t>
            </w:r>
          </w:p>
        </w:tc>
      </w:tr>
      <w:tr>
        <w:trPr>
          <w:cantSplit w:val="0"/>
          <w:trHeight w:val="446.9921875" w:hRule="atLeast"/>
          <w:tblHeader w:val="0"/>
        </w:trPr>
        <w:tc>
          <w:tcPr>
            <w:vAlign w:val="center"/>
          </w:tcPr>
          <w:p w14:paraId="000000B1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[Guardrail metric 2]</w:t>
            </w:r>
          </w:p>
        </w:tc>
        <w:tc>
          <w:tcPr>
            <w:vAlign w:val="center"/>
          </w:tcPr>
          <w:p w14:paraId="000000B2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[Variant A value]</w:t>
            </w:r>
          </w:p>
        </w:tc>
        <w:tc>
          <w:tcPr>
            <w:vAlign w:val="center"/>
          </w:tcPr>
          <w:p w14:paraId="000000B3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[Variant B value]</w:t>
            </w:r>
          </w:p>
        </w:tc>
        <w:tc>
          <w:tcPr>
            <w:vAlign w:val="center"/>
          </w:tcPr>
          <w:p w14:paraId="000000B4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[Delta]</w:t>
            </w:r>
          </w:p>
        </w:tc>
        <w:tc>
          <w:tcPr>
            <w:vAlign w:val="center"/>
          </w:tcPr>
          <w:p w14:paraId="000000B5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[Pass / Fail]</w:t>
            </w:r>
          </w:p>
        </w:tc>
      </w:tr>
      <w:tr>
        <w:trPr>
          <w:cantSplit w:val="0"/>
          <w:trHeight w:val="446.9921875" w:hRule="atLeast"/>
          <w:tblHeader w:val="0"/>
        </w:trPr>
        <w:tc>
          <w:tcPr>
            <w:vAlign w:val="center"/>
          </w:tcPr>
          <w:p w14:paraId="000000B6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[Guardrail metric 3]</w:t>
            </w:r>
          </w:p>
        </w:tc>
        <w:tc>
          <w:tcPr>
            <w:vAlign w:val="center"/>
          </w:tcPr>
          <w:p w14:paraId="000000B7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[Variant A value]</w:t>
            </w:r>
          </w:p>
        </w:tc>
        <w:tc>
          <w:tcPr>
            <w:vAlign w:val="center"/>
          </w:tcPr>
          <w:p w14:paraId="000000B8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[Variant B value]</w:t>
            </w:r>
          </w:p>
        </w:tc>
        <w:tc>
          <w:tcPr>
            <w:vAlign w:val="center"/>
          </w:tcPr>
          <w:p w14:paraId="000000B9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[Delta]</w:t>
            </w:r>
          </w:p>
        </w:tc>
        <w:tc>
          <w:tcPr>
            <w:vAlign w:val="center"/>
          </w:tcPr>
          <w:p w14:paraId="000000BA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[Pass / Fail]</w:t>
            </w:r>
          </w:p>
        </w:tc>
      </w:tr>
      <w:tr>
        <w:trPr>
          <w:cantSplit w:val="0"/>
          <w:trHeight w:val="446.9921875" w:hRule="atLeast"/>
          <w:tblHeader w:val="0"/>
        </w:trPr>
        <w:tc>
          <w:tcPr>
            <w:vAlign w:val="center"/>
          </w:tcPr>
          <w:p w14:paraId="000000BB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[Guardrail metric 4]</w:t>
            </w:r>
          </w:p>
        </w:tc>
        <w:tc>
          <w:tcPr>
            <w:vAlign w:val="center"/>
          </w:tcPr>
          <w:p w14:paraId="000000BC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[Variant A value]</w:t>
            </w:r>
          </w:p>
        </w:tc>
        <w:tc>
          <w:tcPr>
            <w:vAlign w:val="center"/>
          </w:tcPr>
          <w:p w14:paraId="000000BD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[Variant B value]</w:t>
            </w:r>
          </w:p>
        </w:tc>
        <w:tc>
          <w:tcPr>
            <w:vAlign w:val="center"/>
          </w:tcPr>
          <w:p w14:paraId="000000BE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[Delta]</w:t>
            </w:r>
          </w:p>
        </w:tc>
        <w:tc>
          <w:tcPr>
            <w:vAlign w:val="center"/>
          </w:tcPr>
          <w:p w14:paraId="000000BF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[Pass / Fail]</w:t>
            </w:r>
          </w:p>
        </w:tc>
      </w:tr>
    </w:tbl>
    <w:p w14:paraId="000000C0">
      <w:pPr>
        <w:spacing w:after="240" w:before="240" w:lineRule="auto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[Summarize each guardrail result, note any threshold breaches, and explain whether the risk profile supports the proposed decision.]</w:t>
      </w:r>
    </w:p>
    <w:p w14:paraId="000000C1">
      <w:pPr>
        <w:pStyle w:val="Heading1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Segment Results</w:t>
      </w:r>
    </w:p>
    <w:p w14:paraId="000000C2">
      <w:pPr>
        <w:spacing w:after="240" w:before="240" w:lineRule="auto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[Describe which segments were pre-specified, why they matter, and whether the experiment was powered for subgroup comparisons. Distinguish confirmatory from directional analysis.]</w:t>
      </w:r>
    </w:p>
    <w:tbl>
      <w:tblPr>
        <w:tblStyle w:val="Table7"/>
        <w:tblW w:w="9350.0" w:type="dxa"/>
        <w:jc w:val="left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999999" w:space="0" w:sz="4" w:val="single"/>
          <w:insideV w:color="999999" w:space="0" w:sz="4" w:val="single"/>
        </w:tblBorders>
        <w:tblLayout w:type="fixed"/>
        <w:tblLook w:val="0400"/>
      </w:tblPr>
      <w:tblGrid>
        <w:gridCol w:w="1870"/>
        <w:gridCol w:w="1870"/>
        <w:gridCol w:w="1870"/>
        <w:gridCol w:w="1870"/>
        <w:gridCol w:w="1870"/>
        <w:tblGridChange w:id="0">
          <w:tblGrid>
            <w:gridCol w:w="1870"/>
            <w:gridCol w:w="1870"/>
            <w:gridCol w:w="1870"/>
            <w:gridCol w:w="1870"/>
            <w:gridCol w:w="1870"/>
          </w:tblGrid>
        </w:tblGridChange>
      </w:tblGrid>
      <w:tr>
        <w:trPr>
          <w:cantSplit w:val="0"/>
          <w:trHeight w:val="431.99999999999994" w:hRule="atLeast"/>
          <w:tblHeader w:val="0"/>
        </w:trPr>
        <w:tc>
          <w:tcPr>
            <w:shd w:fill="f3f3f3" w:val="clear"/>
            <w:vAlign w:val="center"/>
          </w:tcPr>
          <w:p w14:paraId="000000C3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Segment</w:t>
            </w:r>
          </w:p>
        </w:tc>
        <w:tc>
          <w:tcPr>
            <w:shd w:fill="f3f3f3" w:val="clear"/>
            <w:vAlign w:val="center"/>
          </w:tcPr>
          <w:p w14:paraId="000000C4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Control Value</w:t>
            </w:r>
          </w:p>
        </w:tc>
        <w:tc>
          <w:tcPr>
            <w:shd w:fill="f3f3f3" w:val="clear"/>
            <w:vAlign w:val="center"/>
          </w:tcPr>
          <w:p w14:paraId="000000C5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Treatment Value</w:t>
            </w:r>
          </w:p>
        </w:tc>
        <w:tc>
          <w:tcPr>
            <w:shd w:fill="f3f3f3" w:val="clear"/>
            <w:vAlign w:val="center"/>
          </w:tcPr>
          <w:p w14:paraId="000000C6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Absolute Delta</w:t>
            </w:r>
          </w:p>
        </w:tc>
        <w:tc>
          <w:tcPr>
            <w:shd w:fill="f3f3f3" w:val="clear"/>
            <w:vAlign w:val="center"/>
          </w:tcPr>
          <w:p w14:paraId="000000C7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Interpretation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C8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[Segment 1]</w:t>
            </w:r>
          </w:p>
        </w:tc>
        <w:tc>
          <w:tcPr>
            <w:vAlign w:val="center"/>
          </w:tcPr>
          <w:p w14:paraId="000000C9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[Control value]</w:t>
            </w:r>
          </w:p>
        </w:tc>
        <w:tc>
          <w:tcPr>
            <w:vAlign w:val="center"/>
          </w:tcPr>
          <w:p w14:paraId="000000CA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[Treatment value]</w:t>
            </w:r>
          </w:p>
        </w:tc>
        <w:tc>
          <w:tcPr>
            <w:vAlign w:val="center"/>
          </w:tcPr>
          <w:p w14:paraId="000000CB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[Absolute delta]</w:t>
            </w:r>
          </w:p>
        </w:tc>
        <w:tc>
          <w:tcPr>
            <w:vAlign w:val="center"/>
          </w:tcPr>
          <w:p w14:paraId="000000CC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[Interpret result]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CD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[Segment 2]</w:t>
            </w:r>
          </w:p>
        </w:tc>
        <w:tc>
          <w:tcPr>
            <w:vAlign w:val="center"/>
          </w:tcPr>
          <w:p w14:paraId="000000CE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[Control value]</w:t>
            </w:r>
          </w:p>
        </w:tc>
        <w:tc>
          <w:tcPr>
            <w:vAlign w:val="center"/>
          </w:tcPr>
          <w:p w14:paraId="000000CF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[Treatment value]</w:t>
            </w:r>
          </w:p>
        </w:tc>
        <w:tc>
          <w:tcPr>
            <w:vAlign w:val="center"/>
          </w:tcPr>
          <w:p w14:paraId="000000D0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[Absolute delta]</w:t>
            </w:r>
          </w:p>
        </w:tc>
        <w:tc>
          <w:tcPr>
            <w:vAlign w:val="center"/>
          </w:tcPr>
          <w:p w14:paraId="000000D1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[Interpret result]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D2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[Segment 3]</w:t>
            </w:r>
          </w:p>
        </w:tc>
        <w:tc>
          <w:tcPr>
            <w:vAlign w:val="center"/>
          </w:tcPr>
          <w:p w14:paraId="000000D3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[Control value]</w:t>
            </w:r>
          </w:p>
        </w:tc>
        <w:tc>
          <w:tcPr>
            <w:vAlign w:val="center"/>
          </w:tcPr>
          <w:p w14:paraId="000000D4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[Treatment value]</w:t>
            </w:r>
          </w:p>
        </w:tc>
        <w:tc>
          <w:tcPr>
            <w:vAlign w:val="center"/>
          </w:tcPr>
          <w:p w14:paraId="000000D5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[Absolute delta]</w:t>
            </w:r>
          </w:p>
        </w:tc>
        <w:tc>
          <w:tcPr>
            <w:vAlign w:val="center"/>
          </w:tcPr>
          <w:p w14:paraId="000000D6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[Interpret result]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D7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[Segment 4]</w:t>
            </w:r>
          </w:p>
        </w:tc>
        <w:tc>
          <w:tcPr>
            <w:vAlign w:val="center"/>
          </w:tcPr>
          <w:p w14:paraId="000000D8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[Control value]</w:t>
            </w:r>
          </w:p>
        </w:tc>
        <w:tc>
          <w:tcPr>
            <w:vAlign w:val="center"/>
          </w:tcPr>
          <w:p w14:paraId="000000D9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[Treatment value]</w:t>
            </w:r>
          </w:p>
        </w:tc>
        <w:tc>
          <w:tcPr>
            <w:vAlign w:val="center"/>
          </w:tcPr>
          <w:p w14:paraId="000000DA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[Absolute delta]</w:t>
            </w:r>
          </w:p>
        </w:tc>
        <w:tc>
          <w:tcPr>
            <w:vAlign w:val="center"/>
          </w:tcPr>
          <w:p w14:paraId="000000DB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[Interpret result]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DC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[Segment 5]</w:t>
            </w:r>
          </w:p>
        </w:tc>
        <w:tc>
          <w:tcPr>
            <w:vAlign w:val="center"/>
          </w:tcPr>
          <w:p w14:paraId="000000DD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[Control value]</w:t>
            </w:r>
          </w:p>
        </w:tc>
        <w:tc>
          <w:tcPr>
            <w:vAlign w:val="center"/>
          </w:tcPr>
          <w:p w14:paraId="000000DE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[Treatment value]</w:t>
            </w:r>
          </w:p>
        </w:tc>
        <w:tc>
          <w:tcPr>
            <w:vAlign w:val="center"/>
          </w:tcPr>
          <w:p w14:paraId="000000DF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[Absolute delta]</w:t>
            </w:r>
          </w:p>
        </w:tc>
        <w:tc>
          <w:tcPr>
            <w:vAlign w:val="center"/>
          </w:tcPr>
          <w:p w14:paraId="000000E0">
            <w:pPr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[Interpret result]</w:t>
            </w:r>
          </w:p>
        </w:tc>
      </w:tr>
    </w:tbl>
    <w:p w14:paraId="000000E1">
      <w:pPr>
        <w:rPr>
          <w:rFonts w:ascii="Georgia" w:cs="Georgia" w:eastAsia="Georgia" w:hAnsi="Georgia"/>
        </w:rPr>
      </w:pPr>
      <w:r>
        <w:rPr>
          <w:rtl w:val="0"/>
        </w:rPr>
      </w:r>
    </w:p>
    <w:p w14:paraId="000000E2">
      <w:pPr>
        <w:spacing w:after="240" w:before="240" w:lineRule="auto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[Summarize the most decision-relevant segment patterns and plausible mechanisms. Note uncertainty, multiplicity, or sample-size caveats.]</w:t>
      </w:r>
    </w:p>
    <w:p w14:paraId="000000E3">
      <w:pPr>
        <w:spacing w:after="240" w:before="240" w:lineRule="auto"/>
        <w:jc w:val="both"/>
        <w:rPr>
          <w:rFonts w:ascii="Georgia" w:cs="Georgia" w:eastAsia="Georgia" w:hAnsi="Georgia"/>
        </w:rPr>
      </w:pPr>
      <w:r>
        <w:rPr>
          <w:rtl w:val="0"/>
        </w:rPr>
      </w:r>
    </w:p>
    <w:p w14:paraId="000000E4">
      <w:pPr>
        <w:pStyle w:val="Heading1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Data Quality and Limitations</w:t>
      </w:r>
    </w:p>
    <w:p w14:paraId="000000E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360" w:right="0" w:hanging="360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[List concurrent launches, operational events, or external factors that could affect interpretation.]</w:t>
      </w:r>
      <w:r>
        <w:rPr>
          <w:rtl w:val="0"/>
        </w:rPr>
      </w:r>
    </w:p>
    <w:p w14:paraId="000000E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[Describe traffic-mix or eligibility changes during the experiment.]</w:t>
      </w:r>
      <w:r>
        <w:rPr>
          <w:rtl w:val="0"/>
        </w:rPr>
      </w:r>
    </w:p>
    <w:p w14:paraId="000000E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[Document logging, pipeline, or warehouse incidents and their resolution.]</w:t>
      </w:r>
      <w:r>
        <w:rPr>
          <w:rtl w:val="0"/>
        </w:rPr>
      </w:r>
    </w:p>
    <w:p w14:paraId="000000E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[State platform, geography, audience, or time-window limitations.]</w:t>
      </w:r>
      <w:r>
        <w:rPr>
          <w:rtl w:val="0"/>
        </w:rPr>
      </w:r>
    </w:p>
    <w:p w14:paraId="000000E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360" w:right="0" w:hanging="360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[Note treatment-specific risks, policy constraints, or generalizability limits.]</w:t>
      </w:r>
      <w:r>
        <w:rPr>
          <w:rtl w:val="0"/>
        </w:rPr>
      </w:r>
    </w:p>
    <w:p w14:paraId="000000EA">
      <w:pPr>
        <w:spacing w:after="240" w:before="240" w:lineRule="auto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[Explain how these limitations affect the recommendation and clearly define where the evidence should and should not be generalized.]</w:t>
      </w:r>
    </w:p>
    <w:p w14:paraId="000000EB">
      <w:pPr>
        <w:spacing w:after="240" w:before="240" w:lineRule="auto"/>
        <w:jc w:val="both"/>
        <w:rPr>
          <w:rFonts w:ascii="Georgia" w:cs="Georgia" w:eastAsia="Georgia" w:hAnsi="Georgia"/>
        </w:rPr>
      </w:pPr>
      <w:r>
        <w:rPr>
          <w:rtl w:val="0"/>
        </w:rPr>
      </w:r>
    </w:p>
    <w:p w14:paraId="000000EC">
      <w:pPr>
        <w:pStyle w:val="Heading1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Interpretation</w:t>
      </w:r>
    </w:p>
    <w:p w14:paraId="000000ED">
      <w:pPr>
        <w:spacing w:after="240" w:before="240" w:lineRule="auto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[Connect the observed results to the hypothesis and proposed mechanism. Explain whether the effect is statistically credible, practically meaningful, and consistent across key measures.]</w:t>
      </w:r>
    </w:p>
    <w:p w14:paraId="000000EE">
      <w:pPr>
        <w:spacing w:after="240" w:before="240" w:lineRule="auto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[Translate the result into business or product impact, including expected upside, cost, reversibility, and remaining uncertainty. State the recommended decision posture.]</w:t>
      </w:r>
    </w:p>
    <w:p w14:paraId="000000EF">
      <w:pPr>
        <w:spacing w:after="160" w:line="278.00000000000006" w:lineRule="auto"/>
        <w:rPr>
          <w:rFonts w:ascii="Georgia" w:cs="Georgia" w:eastAsia="Georgia" w:hAnsi="Georgia"/>
        </w:rPr>
      </w:pPr>
      <w:r>
        <w:rPr>
          <w:rtl w:val="0"/>
        </w:rPr>
      </w:r>
    </w:p>
    <w:p w14:paraId="000000F0">
      <w:pPr>
        <w:pStyle w:val="Heading1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Decision Log</w:t>
      </w:r>
    </w:p>
    <w:p w14:paraId="000000F1">
      <w:pPr>
        <w:rPr>
          <w:rFonts w:ascii="Georgia" w:cs="Georgia" w:eastAsia="Georgia" w:hAnsi="Georgia"/>
        </w:rPr>
      </w:pPr>
      <w:r>
        <w:rPr>
          <w:rtl w:val="0"/>
        </w:rPr>
      </w:r>
    </w:p>
    <w:tbl>
      <w:tblPr>
        <w:tblStyle w:val="Table8"/>
        <w:tblW w:w="9350.0" w:type="dxa"/>
        <w:jc w:val="left"/>
        <w:tblBorders>
          <w:top w:color="999999" w:space="0" w:sz="4" w:val="single"/>
          <w:left w:color="999999" w:space="0" w:sz="4" w:val="single"/>
          <w:bottom w:color="999999" w:space="0" w:sz="4" w:val="single"/>
          <w:right w:color="999999" w:space="0" w:sz="4" w:val="single"/>
          <w:insideH w:color="999999" w:space="0" w:sz="4" w:val="single"/>
          <w:insideV w:color="999999" w:space="0" w:sz="4" w:val="single"/>
        </w:tblBorders>
        <w:tblLayout w:type="fixed"/>
        <w:tblLook w:val="0400"/>
      </w:tblPr>
      <w:tblGrid>
        <w:gridCol w:w="2263"/>
        <w:gridCol w:w="7087"/>
        <w:tblGridChange w:id="0">
          <w:tblGrid>
            <w:gridCol w:w="2263"/>
            <w:gridCol w:w="7087"/>
          </w:tblGrid>
        </w:tblGridChange>
      </w:tblGrid>
      <w:tr>
        <w:trPr>
          <w:cantSplit w:val="0"/>
          <w:trHeight w:val="431.99999999999994" w:hRule="atLeast"/>
          <w:tblHeader w:val="0"/>
        </w:trPr>
        <w:tc>
          <w:tcPr>
            <w:shd w:fill="f3f3f3" w:val="clear"/>
            <w:vAlign w:val="center"/>
          </w:tcPr>
          <w:p w14:paraId="000000F2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Item</w:t>
            </w:r>
          </w:p>
        </w:tc>
        <w:tc>
          <w:tcPr>
            <w:shd w:fill="f3f3f3" w:val="clear"/>
            <w:vAlign w:val="center"/>
          </w:tcPr>
          <w:p w14:paraId="000000F3">
            <w:pP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color w:val="105128"/>
                <w:sz w:val="20"/>
                <w:szCs w:val="20"/>
                <w:rtl w:val="0"/>
              </w:rPr>
              <w:t xml:space="preserve">Decision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F4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Final Decision</w:t>
            </w:r>
          </w:p>
        </w:tc>
        <w:tc>
          <w:tcPr>
            <w:vAlign w:val="center"/>
          </w:tcPr>
          <w:p w14:paraId="000000F5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[State final decision and scope]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F6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Decision Date</w:t>
            </w:r>
          </w:p>
        </w:tc>
        <w:tc>
          <w:tcPr>
            <w:vAlign w:val="center"/>
          </w:tcPr>
          <w:p w14:paraId="000000F7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[Decision date]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F8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Approvers</w:t>
            </w:r>
          </w:p>
        </w:tc>
        <w:tc>
          <w:tcPr>
            <w:vAlign w:val="center"/>
          </w:tcPr>
          <w:p w14:paraId="000000F9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[Approver roles or names]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FA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Rollout Type</w:t>
            </w:r>
          </w:p>
        </w:tc>
        <w:tc>
          <w:tcPr>
            <w:vAlign w:val="center"/>
          </w:tcPr>
          <w:p w14:paraId="000000FB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[Describe rollout or implementation approach]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FC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Rollback Trigger</w:t>
            </w:r>
          </w:p>
        </w:tc>
        <w:tc>
          <w:tcPr>
            <w:vAlign w:val="center"/>
          </w:tcPr>
          <w:p w14:paraId="000000FD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[Define rollback threshold or stop condition]</w:t>
            </w:r>
          </w:p>
        </w:tc>
      </w:tr>
      <w:tr>
        <w:trPr>
          <w:cantSplit w:val="0"/>
          <w:trHeight w:val="431.99999999999994" w:hRule="atLeast"/>
          <w:tblHeader w:val="0"/>
        </w:trPr>
        <w:tc>
          <w:tcPr>
            <w:vAlign w:val="center"/>
          </w:tcPr>
          <w:p w14:paraId="000000FE">
            <w:pPr>
              <w:rPr>
                <w:rFonts w:ascii="Georgia" w:cs="Georgia" w:eastAsia="Georgia" w:hAnsi="Georgia"/>
                <w:b w:val="1"/>
                <w:bCs w:val="1"/>
                <w:sz w:val="20"/>
                <w:szCs w:val="20"/>
              </w:rPr>
            </w:pPr>
            <w:r>
              <w:rPr>
                <w:rFonts w:ascii="Georgia" w:cs="Georgia" w:eastAsia="Georgia" w:hAnsi="Georgia"/>
                <w:b w:val="1"/>
                <w:bCs w:val="1"/>
                <w:sz w:val="20"/>
                <w:szCs w:val="20"/>
                <w:rtl w:val="0"/>
              </w:rPr>
              <w:t xml:space="preserve">Follow Up</w:t>
            </w:r>
          </w:p>
        </w:tc>
        <w:tc>
          <w:tcPr>
            <w:vAlign w:val="center"/>
          </w:tcPr>
          <w:p w14:paraId="000000FF">
            <w:pPr>
              <w:jc w:val="both"/>
              <w:rPr>
                <w:rFonts w:ascii="Georgia" w:cs="Georgia" w:eastAsia="Georgia" w:hAnsi="Georgia"/>
                <w:sz w:val="20"/>
                <w:szCs w:val="20"/>
              </w:rPr>
            </w:pPr>
            <w:r>
              <w:rPr>
                <w:rFonts w:ascii="Georgia" w:cs="Georgia" w:eastAsia="Georgia" w:hAnsi="Georgia"/>
                <w:sz w:val="20"/>
                <w:szCs w:val="20"/>
                <w:rtl w:val="0"/>
              </w:rPr>
              <w:t xml:space="preserve">[Describe required follow-up validation]</w:t>
            </w:r>
          </w:p>
        </w:tc>
      </w:tr>
    </w:tbl>
    <w:p w14:paraId="00000100">
      <w:pPr>
        <w:rPr>
          <w:rFonts w:ascii="Georgia" w:cs="Georgia" w:eastAsia="Georgia" w:hAnsi="Georgia"/>
        </w:rPr>
      </w:pPr>
      <w:r>
        <w:rPr>
          <w:rtl w:val="0"/>
        </w:rPr>
      </w:r>
    </w:p>
    <w:p w14:paraId="00000101">
      <w:pPr>
        <w:pStyle w:val="Heading1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Post Test Actions</w:t>
      </w:r>
    </w:p>
    <w:p w14:paraId="0000010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643" w:right="0" w:hanging="360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[Describe the rollout or implementation sequence.]</w:t>
      </w:r>
      <w:r>
        <w:rPr>
          <w:rtl w:val="0"/>
        </w:rPr>
      </w:r>
    </w:p>
    <w:p w14:paraId="0000010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3" w:right="0" w:hanging="360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[Define post-launch monitoring metrics, cadence, and duration.]</w:t>
      </w:r>
      <w:r>
        <w:rPr>
          <w:rtl w:val="0"/>
        </w:rPr>
      </w:r>
    </w:p>
    <w:p w14:paraId="0000010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3" w:right="0" w:hanging="360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[List replication or follow-up experiments.]</w:t>
      </w:r>
      <w:r>
        <w:rPr>
          <w:rtl w:val="0"/>
        </w:rPr>
      </w:r>
    </w:p>
    <w:p w14:paraId="0000010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3" w:right="0" w:hanging="360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[Identify additional analysis or product opportunities.]</w:t>
      </w:r>
      <w:r>
        <w:rPr>
          <w:rtl w:val="0"/>
        </w:rPr>
      </w:r>
    </w:p>
    <w:p w14:paraId="0000010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643" w:right="0" w:hanging="360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[Document archival, reporting, and ownership requirements.]</w:t>
      </w:r>
      <w:r>
        <w:rPr>
          <w:rtl w:val="0"/>
        </w:rPr>
      </w:r>
    </w:p>
    <w:p w14:paraId="00000107">
      <w:pPr>
        <w:spacing w:after="240" w:before="240" w:lineRule="auto"/>
        <w:jc w:val="both"/>
        <w:rPr>
          <w:rFonts w:ascii="Georgia" w:cs="Georgia" w:eastAsia="Georgia" w:hAnsi="Georgia"/>
        </w:rPr>
      </w:pPr>
      <w:r>
        <w:rPr>
          <w:rtl w:val="0"/>
        </w:rPr>
      </w:r>
    </w:p>
    <w:p w14:paraId="00000108">
      <w:pPr>
        <w:pStyle w:val="Heading1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Appendix A: Metric Definitions</w:t>
      </w:r>
    </w:p>
    <w:p w14:paraId="0000010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502" w:right="0" w:hanging="360"/>
        <w:jc w:val="both"/>
        <w:rPr/>
      </w:pPr>
      <w:r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[Metric name 1]</w:t>
      </w: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[Define numerator, denominator, eligibility, event source, and calculation.]</w:t>
      </w:r>
      <w:r>
        <w:rPr>
          <w:rtl w:val="0"/>
        </w:rPr>
      </w:r>
    </w:p>
    <w:p w14:paraId="0000010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hanging="360"/>
        <w:jc w:val="both"/>
        <w:rPr/>
      </w:pPr>
      <w:r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[Metric name 2]</w:t>
      </w: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[Define numerator, denominator, eligibility, event source, and calculation.]</w:t>
      </w:r>
      <w:r>
        <w:rPr>
          <w:rtl w:val="0"/>
        </w:rPr>
      </w:r>
    </w:p>
    <w:p w14:paraId="0000010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hanging="360"/>
        <w:jc w:val="both"/>
        <w:rPr/>
      </w:pPr>
      <w:r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[Metric name 3]</w:t>
      </w: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[Define numerator, denominator, eligibility, event source, and calculation.]</w:t>
      </w:r>
      <w:r>
        <w:rPr>
          <w:rtl w:val="0"/>
        </w:rPr>
      </w:r>
    </w:p>
    <w:p w14:paraId="0000010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hanging="360"/>
        <w:jc w:val="both"/>
        <w:rPr/>
      </w:pPr>
      <w:r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[Metric name 4]</w:t>
      </w: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[Define numerator, denominator, eligibility, event source, and calculation.]</w:t>
      </w:r>
      <w:r>
        <w:rPr>
          <w:rtl w:val="0"/>
        </w:rPr>
      </w:r>
    </w:p>
    <w:p w14:paraId="0000010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502" w:right="0" w:hanging="360"/>
        <w:jc w:val="both"/>
        <w:rPr/>
      </w:pPr>
      <w:r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[Metric name 5]</w:t>
      </w: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[Define numerator, denominator, eligibility, event source, and calculation.]</w:t>
      </w:r>
      <w:r>
        <w:rPr>
          <w:rtl w:val="0"/>
        </w:rPr>
      </w:r>
    </w:p>
    <w:p w14:paraId="0000010E">
      <w:pPr>
        <w:spacing w:after="160" w:line="278.00000000000006" w:lineRule="auto"/>
        <w:rPr>
          <w:rFonts w:ascii="Georgia" w:cs="Georgia" w:eastAsia="Georgia" w:hAnsi="Georgia"/>
        </w:rPr>
      </w:pPr>
      <w:r>
        <w:rPr>
          <w:rtl w:val="0"/>
        </w:rPr>
      </w:r>
    </w:p>
    <w:p w14:paraId="0000010F">
      <w:pPr>
        <w:pStyle w:val="Heading1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rtl w:val="0"/>
        </w:rPr>
        <w:t xml:space="preserve">Appendix B: Analyst Notes</w:t>
      </w:r>
    </w:p>
    <w:p w14:paraId="0000011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643" w:right="0" w:hanging="360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[Document the statistical method, confidence level, and software or query version used.]</w:t>
      </w:r>
      <w:r>
        <w:rPr>
          <w:rtl w:val="0"/>
        </w:rPr>
      </w:r>
    </w:p>
    <w:p w14:paraId="0000011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3" w:right="0" w:hanging="360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[Record stopping rules, interim reads, or deviations from the analysis plan.]</w:t>
      </w:r>
      <w:r>
        <w:rPr>
          <w:rtl w:val="0"/>
        </w:rPr>
      </w:r>
    </w:p>
    <w:p w14:paraId="0000011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3" w:right="0" w:hanging="360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[Summarize data reconciliation, backfills, and reviewer sign-off.]</w:t>
      </w:r>
      <w:r>
        <w:rPr>
          <w:rtl w:val="0"/>
        </w:rPr>
      </w:r>
    </w:p>
    <w:p w14:paraId="0000011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643" w:right="0" w:hanging="360"/>
        <w:jc w:val="both"/>
        <w:rPr>
          <w:rFonts w:ascii="Georgia" w:cs="Georgia" w:eastAsia="Georgia" w:hAnsi="Georgia"/>
        </w:rPr>
      </w:pPr>
      <w:r>
        <w:rPr>
          <w:rFonts w:ascii="Georgia" w:cs="Georgia" w:eastAsia="Georgia" w:hAnsi="Georgia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[Add any remaining assumptions, caveats, or provenance notes.]</w:t>
      </w:r>
      <w:r>
        <w:rPr>
          <w:rtl w:val="0"/>
        </w:rPr>
      </w:r>
    </w:p>
    <w:p w14:paraId="00000114">
      <w:pPr>
        <w:rPr>
          <w:rFonts w:ascii="Georgia" w:cs="Georgia" w:eastAsia="Georgia" w:hAnsi="Georgia"/>
        </w:rPr>
      </w:pPr>
      <w:r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14:paraId="00000116">
    <w:pPr>
      <w:rPr>
        <w:color w:val="002715"/>
      </w:rPr>
    </w:pPr>
    <w:r>
      <w:rPr>
        <w:rtl w:val="0"/>
      </w:rPr>
    </w:r>
  </w:p>
  <w:sdt>
    <w:sdtPr>
      <w:lock w:val="contentLocked"/>
      <w:id w:val="-913180812"/>
      <w:tag w:val="goog_rdk_0"/>
    </w:sdtPr>
    <w:sdtContent>
      <w:tbl>
        <w:tblPr>
          <w:tblStyle w:val="Table9"/>
          <w:tblW w:w="9360.0" w:type="dxa"/>
          <w:jc w:val="left"/>
          <w:tblLayout w:type="fixed"/>
          <w:tblLook w:val="0600"/>
        </w:tblPr>
        <w:tblGrid>
          <w:gridCol w:w="4680"/>
          <w:gridCol w:w="4680"/>
          <w:tblGridChange w:id="0">
            <w:tblGrid>
              <w:gridCol w:w="4680"/>
              <w:gridCol w:w="4680"/>
            </w:tblGrid>
          </w:tblGridChange>
        </w:tblGrid>
        <w:tr>
          <w:trPr>
            <w:cantSplit w:val="0"/>
            <w:tblHeader w:val="0"/>
          </w:trPr>
          <w:tc>
            <w:tcPr>
              <w:tc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cBorders>
              <w:shd w:fill="auto" w:val="clear"/>
              <w:tcMar>
                <w:top w:w="100.0" w:type="dxa"/>
                <w:left w:w="100.0" w:type="dxa"/>
                <w:bottom w:w="100.0" w:type="dxa"/>
                <w:right w:w="100.0" w:type="dxa"/>
              </w:tcMar>
              <w:vAlign w:val="top"/>
            </w:tcPr>
            <w:p w14:paraId="00000117">
              <w:pPr>
                <w:keepNext w:val="0"/>
                <w:keepLines w:val="0"/>
                <w:widowControl w:val="0"/>
                <w:pBdr>
                  <w:top w:space="0" w:sz="0" w:val="nil"/>
                  <w:left w:space="0" w:sz="0" w:val="nil"/>
                  <w:bottom w:space="0" w:sz="0" w:val="nil"/>
                  <w:right w:space="0" w:sz="0" w:val="nil"/>
                  <w:between w:space="0" w:sz="0" w:val="nil"/>
                </w:pBdr>
                <w:shd w:fill="auto" w:val="clear"/>
                <w:spacing w:after="0" w:before="0" w:line="240" w:lineRule="auto"/>
                <w:ind w:left="0" w:right="0" w:firstLine="0"/>
                <w:jc w:val="left"/>
                <w:rPr>
                  <w:rFonts w:ascii="Georgia" w:cs="Georgia" w:eastAsia="Georgia" w:hAnsi="Georgia"/>
                  <w:color w:val="105128"/>
                  <w:sz w:val="18"/>
                  <w:szCs w:val="18"/>
                </w:rPr>
              </w:pPr>
              <w:r>
                <w:rPr>
                  <w:rFonts w:ascii="Georgia" w:cs="Georgia" w:eastAsia="Georgia" w:hAnsi="Georgia"/>
                  <w:color w:val="105128"/>
                  <w:sz w:val="18"/>
                  <w:szCs w:val="18"/>
                  <w:rtl w:val="0"/>
                </w:rPr>
                <w:t xml:space="preserve">Report Name</w:t>
              </w:r>
            </w:p>
          </w:tc>
          <w:tc>
            <w:tcPr>
              <w:tc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cBorders>
              <w:shd w:fill="auto" w:val="clear"/>
              <w:tcMar>
                <w:top w:w="100.0" w:type="dxa"/>
                <w:left w:w="100.0" w:type="dxa"/>
                <w:bottom w:w="100.0" w:type="dxa"/>
                <w:right w:w="100.0" w:type="dxa"/>
              </w:tcMar>
              <w:vAlign w:val="top"/>
            </w:tcPr>
            <w:p w14:paraId="00000118">
              <w:pPr>
                <w:keepNext w:val="0"/>
                <w:keepLines w:val="0"/>
                <w:widowControl w:val="0"/>
                <w:pBdr>
                  <w:top w:space="0" w:sz="0" w:val="nil"/>
                  <w:left w:space="0" w:sz="0" w:val="nil"/>
                  <w:bottom w:space="0" w:sz="0" w:val="nil"/>
                  <w:right w:space="0" w:sz="0" w:val="nil"/>
                  <w:between w:space="0" w:sz="0" w:val="nil"/>
                </w:pBdr>
                <w:shd w:fill="auto" w:val="clear"/>
                <w:spacing w:after="0" w:before="0" w:line="240" w:lineRule="auto"/>
                <w:ind w:left="0" w:right="0" w:firstLine="0"/>
                <w:jc w:val="right"/>
                <w:rPr>
                  <w:rFonts w:ascii="Georgia" w:cs="Georgia" w:eastAsia="Georgia" w:hAnsi="Georgia"/>
                  <w:color w:val="105128"/>
                  <w:sz w:val="18"/>
                  <w:szCs w:val="18"/>
                </w:rPr>
              </w:pPr>
              <w:r>
                <w:rPr>
                  <w:rFonts w:ascii="Georgia" w:cs="Georgia" w:eastAsia="Georgia" w:hAnsi="Georgia"/>
                  <w:color w:val="105128"/>
                  <w:sz w:val="18"/>
                  <w:szCs w:val="18"/>
                </w:rPr>
                <w:fldChar w:fldCharType="begin"/>
                <w:instrText xml:space="preserve">PAGE</w:instrText>
                <w:fldChar w:fldCharType="separate"/>
                <w:fldChar w:fldCharType="end"/>
              </w:r>
              <w:r>
                <w:rPr>
                  <w:rtl w:val="0"/>
                </w:rPr>
              </w:r>
            </w:p>
          </w:tc>
        </w:tr>
      </w:tbl>
    </w:sdtContent>
  </w:sdt>
  <w:p w14:paraId="00000119">
    <w:pPr>
      <w:rPr>
        <w:color w:val="002715"/>
      </w:rPr>
    </w:pPr>
    <w:r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14:paraId="00000115">
    <w:pPr>
      <w:rPr/>
    </w:pP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643" w:hanging="360"/>
      </w:pPr>
      <w:rPr/>
    </w:lvl>
    <w:lvl w:ilvl="1">
      <w:start w:val="1"/>
      <w:numFmt w:val="lowerLetter"/>
      <w:lvlText w:val="%2."/>
      <w:lvlJc w:val="left"/>
      <w:pPr>
        <w:ind w:left="1363" w:hanging="359.99999999999955"/>
      </w:pPr>
      <w:rPr/>
    </w:lvl>
    <w:lvl w:ilvl="2">
      <w:start w:val="1"/>
      <w:numFmt w:val="lowerRoman"/>
      <w:lvlText w:val="%3."/>
      <w:lvlJc w:val="right"/>
      <w:pPr>
        <w:ind w:left="2083" w:hanging="180"/>
      </w:pPr>
      <w:rPr/>
    </w:lvl>
    <w:lvl w:ilvl="3">
      <w:start w:val="1"/>
      <w:numFmt w:val="decimal"/>
      <w:lvlText w:val="%4."/>
      <w:lvlJc w:val="left"/>
      <w:pPr>
        <w:ind w:left="2803" w:hanging="360"/>
      </w:pPr>
      <w:rPr/>
    </w:lvl>
    <w:lvl w:ilvl="4">
      <w:start w:val="1"/>
      <w:numFmt w:val="lowerLetter"/>
      <w:lvlText w:val="%5."/>
      <w:lvlJc w:val="left"/>
      <w:pPr>
        <w:ind w:left="3523" w:hanging="360"/>
      </w:pPr>
      <w:rPr/>
    </w:lvl>
    <w:lvl w:ilvl="5">
      <w:start w:val="1"/>
      <w:numFmt w:val="lowerRoman"/>
      <w:lvlText w:val="%6."/>
      <w:lvlJc w:val="right"/>
      <w:pPr>
        <w:ind w:left="4243" w:hanging="180"/>
      </w:pPr>
      <w:rPr/>
    </w:lvl>
    <w:lvl w:ilvl="6">
      <w:start w:val="1"/>
      <w:numFmt w:val="decimal"/>
      <w:lvlText w:val="%7."/>
      <w:lvlJc w:val="left"/>
      <w:pPr>
        <w:ind w:left="4963" w:hanging="360"/>
      </w:pPr>
      <w:rPr/>
    </w:lvl>
    <w:lvl w:ilvl="7">
      <w:start w:val="1"/>
      <w:numFmt w:val="lowerLetter"/>
      <w:lvlText w:val="%8."/>
      <w:lvlJc w:val="left"/>
      <w:pPr>
        <w:ind w:left="5683" w:hanging="360"/>
      </w:pPr>
      <w:rPr/>
    </w:lvl>
    <w:lvl w:ilvl="8">
      <w:start w:val="1"/>
      <w:numFmt w:val="lowerRoman"/>
      <w:lvlText w:val="%9."/>
      <w:lvlJc w:val="right"/>
      <w:pPr>
        <w:ind w:left="6403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64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363" w:hanging="359.99999999999955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8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0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4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6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03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b w:val="1"/>
      <w:bCs w:val="1"/>
      <w:color w:val="1a703a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before="160" w:lineRule="auto"/>
      <w:jc w:val="center"/>
    </w:pPr>
    <w:rPr>
      <w:rFonts w:ascii="Georgia" w:cs="Georgia" w:eastAsia="Georgia" w:hAnsi="Georgia"/>
      <w:color w:val="592382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160" w:lineRule="auto"/>
      <w:jc w:val="center"/>
    </w:pPr>
    <w:rPr>
      <w:rFonts w:ascii="Georgia" w:cs="Georgia" w:eastAsia="Georgia" w:hAnsi="Georgia"/>
      <w:color w:val="59238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37233f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37233f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  <w:jc w:val="center"/>
    </w:pPr>
    <w:rPr>
      <w:b w:val="1"/>
      <w:bCs w:val="1"/>
      <w:color w:val="4a2e5f"/>
      <w:sz w:val="80"/>
      <w:szCs w:val="80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