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14:paraId="00000001">
      <w:pPr>
        <w:pStyle w:val="Title"/>
        <w:spacing w:after="200" w:before="240" w:lineRule="auto"/>
        <w:rPr/>
      </w:pPr>
      <w:bookmarkStart w:colFirst="0" w:colLast="0" w:name="_heading=h.plxsu1nmqu48" w:id="0"/>
      <w:bookmarkEnd w:id="0"/>
      <w:r>
        <w:rPr>
          <w:rtl w:val="0"/>
        </w:rPr>
      </w:r>
    </w:p>
    <w:p w14:paraId="00000002">
      <w:pPr>
        <w:rPr/>
      </w:pPr>
      <w:r>
        <w:rPr>
          <w:rtl w:val="0"/>
        </w:rPr>
      </w:r>
    </w:p>
    <w:p w14:paraId="00000003">
      <w:pPr>
        <w:rPr/>
      </w:pPr>
      <w:r>
        <w:rPr>
          <w:rtl w:val="0"/>
        </w:rPr>
      </w:r>
    </w:p>
    <w:p w14:paraId="00000004">
      <w:pPr>
        <w:pStyle w:val="Title"/>
        <w:spacing w:after="200" w:before="240" w:lineRule="auto"/>
        <w:rPr/>
      </w:pPr>
      <w:bookmarkStart w:colFirst="0" w:colLast="0" w:name="_heading=h.iygpj3gzq5ll" w:id="1"/>
      <w:bookmarkEnd w:id="1"/>
      <w:r>
        <w:rPr/>
        <mc:AlternateContent>
          <mc:Choice Requires="wpg">
            <w:drawing>
              <wp:inline distB="57150" distT="57150" distL="57150" distR="57150">
                <wp:extent cx="1485900" cy="92432"/>
                <wp:effectExtent b="0" l="0" r="0" t="0"/>
                <wp:docPr descr="Decorative black rule used in the memo template." id="1" name=""/>
                <a:graphic>
                  <a:graphicData uri="http://schemas.microsoft.com/office/word/2010/wordprocessingShape">
                    <wps:wsp>
                      <wps:cNvSpPr/>
                      <wps:cNvPr id="2" name="Shape 2"/>
                      <wps:spPr>
                        <a:xfrm>
                          <a:off x="3151650" y="3666150"/>
                          <a:ext cx="4388700" cy="227700"/>
                        </a:xfrm>
                        <a:prstGeom prst="rect">
                          <a:avLst/>
                        </a:prstGeom>
                        <a:solidFill>
                          <a:srgbClr val="000000"/>
                        </a:solidFill>
                        <a:ln>
                          <a:noFill/>
                        </a:ln>
                      </wps:spPr>
                      <wps:txbx>
                        <w:txbxContent>
                          <w:p>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inline>
            </w:drawing>
          </mc:Choice>
          <mc:Fallback>
            <w:drawing>
              <wp:inline distB="57150" distT="57150" distL="57150" distR="57150">
                <wp:extent cx="1485900" cy="92432"/>
                <wp:effectExtent b="0" l="0" r="0" t="0"/>
                <wp:docPr descr="Decorative black rule used in the memo template." id="1" name="image6.png"/>
                <a:graphic>
                  <a:graphicData uri="http://schemas.openxmlformats.org/drawingml/2006/picture">
                    <pic:pic>
                      <pic:nvPicPr>
                        <pic:cNvPr descr="Decorative black rule used in the memo template." id="0" name="image6.png"/>
                        <pic:cNvPicPr preferRelativeResize="0"/>
                      </pic:nvPicPr>
                      <pic:blipFill>
                        <a:blip r:embed="rId7"/>
                        <a:srcRect/>
                        <a:stretch>
                          <a:fillRect/>
                        </a:stretch>
                      </pic:blipFill>
                      <pic:spPr>
                        <a:xfrm>
                          <a:off x="0" y="0"/>
                          <a:ext cx="1485900" cy="92432"/>
                        </a:xfrm>
                        <a:prstGeom prst="rect"/>
                        <a:ln/>
                      </pic:spPr>
                    </pic:pic>
                  </a:graphicData>
                </a:graphic>
              </wp:inline>
            </w:drawing>
          </mc:Fallback>
        </mc:AlternateContent>
      </w:r>
      <w:r>
        <w:rPr>
          <w:rtl w:val="0"/>
        </w:rPr>
      </w:r>
    </w:p>
    <w:p w14:paraId="00000005">
      <w:pPr>
        <w:pStyle w:val="Title"/>
        <w:spacing w:after="200" w:before="240" w:line="240" w:lineRule="auto"/>
        <w:rPr>
          <w:b w:val="1"/>
          <w:bCs w:val="1"/>
          <w:sz w:val="80"/>
          <w:szCs w:val="80"/>
        </w:rPr>
      </w:pPr>
      <w:bookmarkStart w:colFirst="0" w:colLast="0" w:name="_heading=h.cbw67w94hv1c" w:id="2"/>
      <w:bookmarkEnd w:id="2"/>
      <w:r>
        <w:rPr>
          <w:b w:val="1"/>
          <w:bCs w:val="1"/>
          <w:sz w:val="80"/>
          <w:szCs w:val="80"/>
          <w:rtl w:val="0"/>
        </w:rPr>
        <w:t xml:space="preserve">Investment Committee Memo</w:t>
      </w:r>
    </w:p>
    <w:p w14:paraId="00000006">
      <w:pPr>
        <w:rPr/>
      </w:pPr>
      <w:r>
        <w:rPr>
          <w:rtl w:val="0"/>
        </w:rPr>
      </w:r>
    </w:p>
    <w:p w14:paraId="00000007">
      <w:pPr>
        <w:rPr/>
      </w:pPr>
      <w:r>
        <w:rPr>
          <w:rtl w:val="0"/>
        </w:rPr>
      </w:r>
    </w:p>
    <w:p w14:paraId="00000008">
      <w:pPr>
        <w:spacing w:after="200" w:lineRule="auto"/>
        <w:rPr>
          <w:color w:val="666666"/>
        </w:rPr>
      </w:pPr>
      <w:r>
        <w:rPr>
          <w:color w:val="666666"/>
          <w:rtl w:val="0"/>
        </w:rPr>
        <w:t xml:space="preserve">[Company / Asset / Transaction]  ·  [Investment / Transaction Type]</w:t>
      </w:r>
    </w:p>
    <w:p w14:paraId="00000009">
      <w:pPr>
        <w:spacing w:after="200" w:lineRule="auto"/>
        <w:rPr/>
      </w:pPr>
      <w:r>
        <w:rPr>
          <w:rtl w:val="0"/>
        </w:rPr>
      </w:r>
    </w:p>
    <w:tbl>
      <w:tblPr>
        <w:tblStyle w:val="Table1"/>
        <w:tblW w:w="93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35"/>
        <w:gridCol w:w="3330"/>
        <w:gridCol w:w="1485"/>
        <w:gridCol w:w="3150"/>
        <w:tblGridChange w:id="0">
          <w:tblGrid>
            <w:gridCol w:w="1335"/>
            <w:gridCol w:w="3330"/>
            <w:gridCol w:w="1485"/>
            <w:gridCol w:w="3150"/>
          </w:tblGrid>
        </w:tblGridChange>
      </w:tblGrid>
      <w:tr>
        <w:trPr>
          <w:cantSplit w:val="0"/>
          <w:trHeight w:val="576" w:hRule="atLeast"/>
          <w:tblHeader w:val="0"/>
        </w:trPr>
        <w:tc>
          <w:tcPr>
            <w:tcBorders>
              <w:top w:color="e6e6e6" w:space="0" w:sz="7" w:val="single"/>
              <w:left w:color="e6e6e6" w:space="0" w:sz="7" w:val="single"/>
              <w:bottom w:color="e6e6e6" w:space="0" w:sz="7" w:val="single"/>
              <w:right w:color="e6e6e6" w:space="0" w:sz="7" w:val="single"/>
            </w:tcBorders>
            <w:shd w:fill="f7f7f7" w:val="clear"/>
            <w:tcMar>
              <w:top w:w="100.0" w:type="dxa"/>
              <w:left w:w="160.0" w:type="dxa"/>
              <w:bottom w:w="100.0" w:type="dxa"/>
              <w:right w:w="140.0" w:type="dxa"/>
            </w:tcMar>
            <w:vAlign w:val="center"/>
          </w:tcPr>
          <w:p w14:paraId="0000000A">
            <w:pPr>
              <w:spacing w:after="200" w:lineRule="auto"/>
              <w:rPr>
                <w:b w:val="1"/>
                <w:bCs w:val="1"/>
                <w:sz w:val="17"/>
                <w:szCs w:val="17"/>
              </w:rPr>
            </w:pPr>
            <w:r>
              <w:rPr>
                <w:b w:val="1"/>
                <w:bCs w:val="1"/>
                <w:color w:val="111111"/>
                <w:sz w:val="17"/>
                <w:szCs w:val="17"/>
                <w:rtl w:val="0"/>
              </w:rPr>
              <w:t xml:space="preserve">To</w:t>
            </w:r>
            <w:r>
              <w:rPr>
                <w:rtl w:val="0"/>
              </w:rPr>
            </w:r>
          </w:p>
        </w:tc>
        <w:tc>
          <w:tcPr>
            <w:tcBorders>
              <w:top w:color="e6e6e6" w:space="0" w:sz="7" w:val="single"/>
              <w:left w:color="000000" w:space="0" w:sz="0" w:val="nil"/>
              <w:bottom w:color="e6e6e6" w:space="0" w:sz="7" w:val="single"/>
              <w:right w:color="e6e6e6" w:space="0" w:sz="7" w:val="single"/>
            </w:tcBorders>
            <w:shd w:fill="ffffff" w:val="clear"/>
            <w:tcMar>
              <w:top w:w="100.0" w:type="dxa"/>
              <w:left w:w="160.0" w:type="dxa"/>
              <w:bottom w:w="100.0" w:type="dxa"/>
              <w:right w:w="140.0" w:type="dxa"/>
            </w:tcMar>
            <w:vAlign w:val="center"/>
          </w:tcPr>
          <w:p w14:paraId="0000000B">
            <w:pPr>
              <w:spacing w:after="200" w:lineRule="auto"/>
              <w:rPr>
                <w:sz w:val="17"/>
                <w:szCs w:val="17"/>
              </w:rPr>
            </w:pPr>
            <w:r>
              <w:rPr>
                <w:color w:val="111111"/>
                <w:sz w:val="17"/>
                <w:szCs w:val="17"/>
                <w:rtl w:val="0"/>
              </w:rPr>
              <w:t xml:space="preserve">[Investment Committee / Approver]</w:t>
            </w:r>
            <w:r>
              <w:rPr>
                <w:rtl w:val="0"/>
              </w:rPr>
            </w:r>
          </w:p>
        </w:tc>
        <w:tc>
          <w:tcPr>
            <w:tcBorders>
              <w:top w:color="e6e6e6" w:space="0" w:sz="7" w:val="single"/>
              <w:left w:color="000000" w:space="0" w:sz="0" w:val="nil"/>
              <w:bottom w:color="e6e6e6" w:space="0" w:sz="7" w:val="single"/>
              <w:right w:color="e6e6e6" w:space="0" w:sz="7" w:val="single"/>
            </w:tcBorders>
            <w:shd w:fill="f7f7f7" w:val="clear"/>
            <w:tcMar>
              <w:top w:w="100.0" w:type="dxa"/>
              <w:left w:w="160.0" w:type="dxa"/>
              <w:bottom w:w="100.0" w:type="dxa"/>
              <w:right w:w="140.0" w:type="dxa"/>
            </w:tcMar>
            <w:vAlign w:val="center"/>
          </w:tcPr>
          <w:p w14:paraId="0000000C">
            <w:pPr>
              <w:spacing w:after="200" w:lineRule="auto"/>
              <w:rPr>
                <w:b w:val="1"/>
                <w:bCs w:val="1"/>
                <w:sz w:val="17"/>
                <w:szCs w:val="17"/>
              </w:rPr>
            </w:pPr>
            <w:r>
              <w:rPr>
                <w:b w:val="1"/>
                <w:bCs w:val="1"/>
                <w:color w:val="111111"/>
                <w:sz w:val="17"/>
                <w:szCs w:val="17"/>
                <w:rtl w:val="0"/>
              </w:rPr>
              <w:t xml:space="preserve">Date</w:t>
            </w:r>
            <w:r>
              <w:rPr>
                <w:rtl w:val="0"/>
              </w:rPr>
            </w:r>
          </w:p>
        </w:tc>
        <w:tc>
          <w:tcPr>
            <w:tcBorders>
              <w:top w:color="e6e6e6" w:space="0" w:sz="7" w:val="single"/>
              <w:left w:color="000000" w:space="0" w:sz="0" w:val="nil"/>
              <w:bottom w:color="e6e6e6" w:space="0" w:sz="7" w:val="single"/>
              <w:right w:color="e6e6e6" w:space="0" w:sz="7" w:val="single"/>
            </w:tcBorders>
            <w:shd w:fill="ffffff" w:val="clear"/>
            <w:tcMar>
              <w:top w:w="100.0" w:type="dxa"/>
              <w:left w:w="160.0" w:type="dxa"/>
              <w:bottom w:w="100.0" w:type="dxa"/>
              <w:right w:w="140.0" w:type="dxa"/>
            </w:tcMar>
            <w:vAlign w:val="center"/>
          </w:tcPr>
          <w:p w14:paraId="0000000D">
            <w:pPr>
              <w:spacing w:after="200" w:lineRule="auto"/>
              <w:rPr>
                <w:sz w:val="17"/>
                <w:szCs w:val="17"/>
              </w:rPr>
            </w:pPr>
            <w:r>
              <w:rPr>
                <w:color w:val="111111"/>
                <w:sz w:val="17"/>
                <w:szCs w:val="17"/>
                <w:rtl w:val="0"/>
              </w:rPr>
              <w:t xml:space="preserve">[Month DD, YYYY]</w:t>
            </w:r>
            <w:r>
              <w:rPr>
                <w:rtl w:val="0"/>
              </w:rPr>
            </w:r>
          </w:p>
        </w:tc>
      </w:tr>
      <w:tr>
        <w:trPr>
          <w:cantSplit w:val="0"/>
          <w:trHeight w:val="576" w:hRule="atLeast"/>
          <w:tblHeader w:val="0"/>
        </w:trPr>
        <w:tc>
          <w:tcPr>
            <w:tcBorders>
              <w:top w:color="000000" w:space="0" w:sz="0" w:val="nil"/>
              <w:left w:color="e6e6e6" w:space="0" w:sz="7" w:val="single"/>
              <w:bottom w:color="e6e6e6" w:space="0" w:sz="7" w:val="single"/>
              <w:right w:color="e6e6e6" w:space="0" w:sz="7" w:val="single"/>
            </w:tcBorders>
            <w:shd w:fill="f7f7f7" w:val="clear"/>
            <w:tcMar>
              <w:top w:w="100.0" w:type="dxa"/>
              <w:left w:w="160.0" w:type="dxa"/>
              <w:bottom w:w="100.0" w:type="dxa"/>
              <w:right w:w="140.0" w:type="dxa"/>
            </w:tcMar>
            <w:vAlign w:val="center"/>
          </w:tcPr>
          <w:p w14:paraId="0000000E">
            <w:pPr>
              <w:spacing w:after="200" w:lineRule="auto"/>
              <w:rPr>
                <w:b w:val="1"/>
                <w:bCs w:val="1"/>
                <w:sz w:val="17"/>
                <w:szCs w:val="17"/>
              </w:rPr>
            </w:pPr>
            <w:r>
              <w:rPr>
                <w:b w:val="1"/>
                <w:bCs w:val="1"/>
                <w:color w:val="111111"/>
                <w:sz w:val="17"/>
                <w:szCs w:val="17"/>
                <w:rtl w:val="0"/>
              </w:rPr>
              <w:t xml:space="preserve">From</w:t>
            </w:r>
            <w:r>
              <w:rPr>
                <w:rtl w:val="0"/>
              </w:rPr>
            </w:r>
          </w:p>
        </w:tc>
        <w:tc>
          <w:tcPr>
            <w:tcBorders>
              <w:top w:color="000000" w:space="0" w:sz="0" w:val="nil"/>
              <w:left w:color="000000" w:space="0" w:sz="0" w:val="nil"/>
              <w:bottom w:color="e6e6e6" w:space="0" w:sz="7" w:val="single"/>
              <w:right w:color="e6e6e6" w:space="0" w:sz="7" w:val="single"/>
            </w:tcBorders>
            <w:shd w:fill="ffffff" w:val="clear"/>
            <w:tcMar>
              <w:top w:w="100.0" w:type="dxa"/>
              <w:left w:w="160.0" w:type="dxa"/>
              <w:bottom w:w="100.0" w:type="dxa"/>
              <w:right w:w="140.0" w:type="dxa"/>
            </w:tcMar>
            <w:vAlign w:val="center"/>
          </w:tcPr>
          <w:p w14:paraId="0000000F">
            <w:pPr>
              <w:spacing w:after="200" w:lineRule="auto"/>
              <w:rPr>
                <w:sz w:val="17"/>
                <w:szCs w:val="17"/>
              </w:rPr>
            </w:pPr>
            <w:r>
              <w:rPr>
                <w:color w:val="111111"/>
                <w:sz w:val="17"/>
                <w:szCs w:val="17"/>
                <w:rtl w:val="0"/>
              </w:rPr>
              <w:t xml:space="preserve">[Sponsor / Deal Team]</w:t>
            </w:r>
            <w:r>
              <w:rPr>
                <w:rtl w:val="0"/>
              </w:rPr>
            </w:r>
          </w:p>
        </w:tc>
        <w:tc>
          <w:tcPr>
            <w:tcBorders>
              <w:top w:color="000000" w:space="0" w:sz="0" w:val="nil"/>
              <w:left w:color="000000" w:space="0" w:sz="0" w:val="nil"/>
              <w:bottom w:color="e6e6e6" w:space="0" w:sz="7" w:val="single"/>
              <w:right w:color="e6e6e6" w:space="0" w:sz="7" w:val="single"/>
            </w:tcBorders>
            <w:shd w:fill="f7f7f7" w:val="clear"/>
            <w:tcMar>
              <w:top w:w="100.0" w:type="dxa"/>
              <w:left w:w="160.0" w:type="dxa"/>
              <w:bottom w:w="100.0" w:type="dxa"/>
              <w:right w:w="140.0" w:type="dxa"/>
            </w:tcMar>
            <w:vAlign w:val="center"/>
          </w:tcPr>
          <w:p w14:paraId="00000010">
            <w:pPr>
              <w:spacing w:after="200" w:lineRule="auto"/>
              <w:rPr>
                <w:b w:val="1"/>
                <w:bCs w:val="1"/>
                <w:sz w:val="17"/>
                <w:szCs w:val="17"/>
              </w:rPr>
            </w:pPr>
            <w:r>
              <w:rPr>
                <w:b w:val="1"/>
                <w:bCs w:val="1"/>
                <w:color w:val="111111"/>
                <w:sz w:val="17"/>
                <w:szCs w:val="17"/>
                <w:rtl w:val="0"/>
              </w:rPr>
              <w:t xml:space="preserve">Status</w:t>
            </w:r>
            <w:r>
              <w:rPr>
                <w:rtl w:val="0"/>
              </w:rPr>
            </w:r>
          </w:p>
        </w:tc>
        <w:tc>
          <w:tcPr>
            <w:tcBorders>
              <w:top w:color="000000" w:space="0" w:sz="0" w:val="nil"/>
              <w:left w:color="000000" w:space="0" w:sz="0" w:val="nil"/>
              <w:bottom w:color="e6e6e6" w:space="0" w:sz="7" w:val="single"/>
              <w:right w:color="e6e6e6" w:space="0" w:sz="7" w:val="single"/>
            </w:tcBorders>
            <w:shd w:fill="ffffff" w:val="clear"/>
            <w:tcMar>
              <w:top w:w="100.0" w:type="dxa"/>
              <w:left w:w="160.0" w:type="dxa"/>
              <w:bottom w:w="100.0" w:type="dxa"/>
              <w:right w:w="140.0" w:type="dxa"/>
            </w:tcMar>
            <w:vAlign w:val="center"/>
          </w:tcPr>
          <w:p w14:paraId="00000011">
            <w:pPr>
              <w:spacing w:after="200" w:lineRule="auto"/>
              <w:rPr>
                <w:sz w:val="17"/>
                <w:szCs w:val="17"/>
              </w:rPr>
            </w:pPr>
            <w:r>
              <w:rPr>
                <w:color w:val="111111"/>
                <w:sz w:val="17"/>
                <w:szCs w:val="17"/>
                <w:rtl w:val="0"/>
              </w:rPr>
              <w:t xml:space="preserve">[Draft / For discussion / For decision]</w:t>
            </w:r>
            <w:r>
              <w:rPr>
                <w:rtl w:val="0"/>
              </w:rPr>
            </w:r>
          </w:p>
        </w:tc>
      </w:tr>
      <w:tr>
        <w:trPr>
          <w:cantSplit w:val="0"/>
          <w:trHeight w:val="576" w:hRule="atLeast"/>
          <w:tblHeader w:val="0"/>
        </w:trPr>
        <w:tc>
          <w:tcPr>
            <w:tcBorders>
              <w:top w:color="000000" w:space="0" w:sz="0" w:val="nil"/>
              <w:left w:color="e6e6e6" w:space="0" w:sz="7" w:val="single"/>
              <w:bottom w:color="e6e6e6" w:space="0" w:sz="7" w:val="single"/>
              <w:right w:color="e6e6e6" w:space="0" w:sz="7" w:val="single"/>
            </w:tcBorders>
            <w:shd w:fill="f7f7f7" w:val="clear"/>
            <w:tcMar>
              <w:top w:w="100.0" w:type="dxa"/>
              <w:left w:w="160.0" w:type="dxa"/>
              <w:bottom w:w="100.0" w:type="dxa"/>
              <w:right w:w="140.0" w:type="dxa"/>
            </w:tcMar>
            <w:vAlign w:val="center"/>
          </w:tcPr>
          <w:p w14:paraId="00000012">
            <w:pPr>
              <w:spacing w:after="200" w:lineRule="auto"/>
              <w:rPr>
                <w:b w:val="1"/>
                <w:bCs w:val="1"/>
                <w:sz w:val="17"/>
                <w:szCs w:val="17"/>
              </w:rPr>
            </w:pPr>
            <w:r>
              <w:rPr>
                <w:b w:val="1"/>
                <w:bCs w:val="1"/>
                <w:color w:val="111111"/>
                <w:sz w:val="17"/>
                <w:szCs w:val="17"/>
                <w:rtl w:val="0"/>
              </w:rPr>
              <w:t xml:space="preserve">Decision Requested</w:t>
            </w:r>
            <w:r>
              <w:rPr>
                <w:rtl w:val="0"/>
              </w:rPr>
            </w:r>
          </w:p>
        </w:tc>
        <w:tc>
          <w:tcPr>
            <w:tcBorders>
              <w:top w:color="000000" w:space="0" w:sz="0" w:val="nil"/>
              <w:left w:color="000000" w:space="0" w:sz="0" w:val="nil"/>
              <w:bottom w:color="e6e6e6" w:space="0" w:sz="7" w:val="single"/>
              <w:right w:color="e6e6e6" w:space="0" w:sz="7" w:val="single"/>
            </w:tcBorders>
            <w:shd w:fill="ffffff" w:val="clear"/>
            <w:tcMar>
              <w:top w:w="100.0" w:type="dxa"/>
              <w:left w:w="160.0" w:type="dxa"/>
              <w:bottom w:w="100.0" w:type="dxa"/>
              <w:right w:w="140.0" w:type="dxa"/>
            </w:tcMar>
            <w:vAlign w:val="center"/>
          </w:tcPr>
          <w:p w14:paraId="00000013">
            <w:pPr>
              <w:spacing w:after="200" w:lineRule="auto"/>
              <w:rPr>
                <w:sz w:val="17"/>
                <w:szCs w:val="17"/>
              </w:rPr>
            </w:pPr>
            <w:r>
              <w:rPr>
                <w:color w:val="111111"/>
                <w:sz w:val="17"/>
                <w:szCs w:val="17"/>
                <w:rtl w:val="0"/>
              </w:rPr>
              <w:t xml:space="preserve">[Specific authorization requested now]</w:t>
            </w:r>
            <w:r>
              <w:rPr>
                <w:rtl w:val="0"/>
              </w:rPr>
            </w:r>
          </w:p>
        </w:tc>
        <w:tc>
          <w:tcPr>
            <w:tcBorders>
              <w:top w:color="000000" w:space="0" w:sz="0" w:val="nil"/>
              <w:left w:color="000000" w:space="0" w:sz="0" w:val="nil"/>
              <w:bottom w:color="e6e6e6" w:space="0" w:sz="7" w:val="single"/>
              <w:right w:color="e6e6e6" w:space="0" w:sz="7" w:val="single"/>
            </w:tcBorders>
            <w:shd w:fill="f7f7f7" w:val="clear"/>
            <w:tcMar>
              <w:top w:w="100.0" w:type="dxa"/>
              <w:left w:w="160.0" w:type="dxa"/>
              <w:bottom w:w="100.0" w:type="dxa"/>
              <w:right w:w="140.0" w:type="dxa"/>
            </w:tcMar>
            <w:vAlign w:val="center"/>
          </w:tcPr>
          <w:p w14:paraId="00000014">
            <w:pPr>
              <w:spacing w:after="200" w:lineRule="auto"/>
              <w:rPr>
                <w:b w:val="1"/>
                <w:bCs w:val="1"/>
                <w:sz w:val="17"/>
                <w:szCs w:val="17"/>
              </w:rPr>
            </w:pPr>
            <w:r>
              <w:rPr>
                <w:b w:val="1"/>
                <w:bCs w:val="1"/>
                <w:color w:val="111111"/>
                <w:sz w:val="17"/>
                <w:szCs w:val="17"/>
                <w:rtl w:val="0"/>
              </w:rPr>
              <w:t xml:space="preserve">Current Commitment</w:t>
            </w:r>
            <w:r>
              <w:rPr>
                <w:rtl w:val="0"/>
              </w:rPr>
            </w:r>
          </w:p>
        </w:tc>
        <w:tc>
          <w:tcPr>
            <w:tcBorders>
              <w:top w:color="000000" w:space="0" w:sz="0" w:val="nil"/>
              <w:left w:color="000000" w:space="0" w:sz="0" w:val="nil"/>
              <w:bottom w:color="e6e6e6" w:space="0" w:sz="7" w:val="single"/>
              <w:right w:color="e6e6e6" w:space="0" w:sz="7" w:val="single"/>
            </w:tcBorders>
            <w:shd w:fill="ffffff" w:val="clear"/>
            <w:tcMar>
              <w:top w:w="100.0" w:type="dxa"/>
              <w:left w:w="160.0" w:type="dxa"/>
              <w:bottom w:w="100.0" w:type="dxa"/>
              <w:right w:w="140.0" w:type="dxa"/>
            </w:tcMar>
            <w:vAlign w:val="center"/>
          </w:tcPr>
          <w:p w14:paraId="00000015">
            <w:pPr>
              <w:spacing w:after="200" w:lineRule="auto"/>
              <w:rPr>
                <w:sz w:val="17"/>
                <w:szCs w:val="17"/>
              </w:rPr>
            </w:pPr>
            <w:r>
              <w:rPr>
                <w:color w:val="111111"/>
                <w:sz w:val="17"/>
                <w:szCs w:val="17"/>
                <w:rtl w:val="0"/>
              </w:rPr>
              <w:t xml:space="preserve">[Already approved / committed / funded]</w:t>
            </w:r>
            <w:r>
              <w:rPr>
                <w:rtl w:val="0"/>
              </w:rPr>
            </w:r>
          </w:p>
        </w:tc>
      </w:tr>
      <w:tr>
        <w:trPr>
          <w:cantSplit w:val="0"/>
          <w:trHeight w:val="576" w:hRule="atLeast"/>
          <w:tblHeader w:val="0"/>
        </w:trPr>
        <w:tc>
          <w:tcPr>
            <w:tcBorders>
              <w:top w:color="000000" w:space="0" w:sz="0" w:val="nil"/>
              <w:left w:color="e6e6e6" w:space="0" w:sz="7" w:val="single"/>
              <w:bottom w:color="e6e6e6" w:space="0" w:sz="7" w:val="single"/>
              <w:right w:color="e6e6e6" w:space="0" w:sz="7" w:val="single"/>
            </w:tcBorders>
            <w:shd w:fill="f7f7f7" w:val="clear"/>
            <w:tcMar>
              <w:top w:w="100.0" w:type="dxa"/>
              <w:left w:w="160.0" w:type="dxa"/>
              <w:bottom w:w="100.0" w:type="dxa"/>
              <w:right w:w="140.0" w:type="dxa"/>
            </w:tcMar>
            <w:vAlign w:val="center"/>
          </w:tcPr>
          <w:p w14:paraId="00000016">
            <w:pPr>
              <w:spacing w:after="200" w:lineRule="auto"/>
              <w:rPr>
                <w:b w:val="1"/>
                <w:bCs w:val="1"/>
                <w:sz w:val="17"/>
                <w:szCs w:val="17"/>
              </w:rPr>
            </w:pPr>
            <w:r>
              <w:rPr>
                <w:b w:val="1"/>
                <w:bCs w:val="1"/>
                <w:color w:val="111111"/>
                <w:sz w:val="17"/>
                <w:szCs w:val="17"/>
                <w:rtl w:val="0"/>
              </w:rPr>
              <w:t xml:space="preserve">Model Version</w:t>
            </w:r>
            <w:r>
              <w:rPr>
                <w:rtl w:val="0"/>
              </w:rPr>
            </w:r>
          </w:p>
        </w:tc>
        <w:tc>
          <w:tcPr>
            <w:tcBorders>
              <w:top w:color="000000" w:space="0" w:sz="0" w:val="nil"/>
              <w:left w:color="000000" w:space="0" w:sz="0" w:val="nil"/>
              <w:bottom w:color="e6e6e6" w:space="0" w:sz="7" w:val="single"/>
              <w:right w:color="e6e6e6" w:space="0" w:sz="7" w:val="single"/>
            </w:tcBorders>
            <w:shd w:fill="ffffff" w:val="clear"/>
            <w:tcMar>
              <w:top w:w="100.0" w:type="dxa"/>
              <w:left w:w="160.0" w:type="dxa"/>
              <w:bottom w:w="100.0" w:type="dxa"/>
              <w:right w:w="140.0" w:type="dxa"/>
            </w:tcMar>
            <w:vAlign w:val="center"/>
          </w:tcPr>
          <w:p w14:paraId="00000017">
            <w:pPr>
              <w:spacing w:after="200" w:lineRule="auto"/>
              <w:rPr>
                <w:sz w:val="17"/>
                <w:szCs w:val="17"/>
              </w:rPr>
            </w:pPr>
            <w:r>
              <w:rPr>
                <w:color w:val="111111"/>
                <w:sz w:val="17"/>
                <w:szCs w:val="17"/>
                <w:rtl w:val="0"/>
              </w:rPr>
              <w:t xml:space="preserve">[Model link / version / as-of / owner]</w:t>
            </w:r>
            <w:r>
              <w:rPr>
                <w:rtl w:val="0"/>
              </w:rPr>
            </w:r>
          </w:p>
        </w:tc>
        <w:tc>
          <w:tcPr>
            <w:tcBorders>
              <w:top w:color="000000" w:space="0" w:sz="0" w:val="nil"/>
              <w:left w:color="000000" w:space="0" w:sz="0" w:val="nil"/>
              <w:bottom w:color="e6e6e6" w:space="0" w:sz="7" w:val="single"/>
              <w:right w:color="e6e6e6" w:space="0" w:sz="7" w:val="single"/>
            </w:tcBorders>
            <w:shd w:fill="f7f7f7" w:val="clear"/>
            <w:tcMar>
              <w:top w:w="100.0" w:type="dxa"/>
              <w:left w:w="160.0" w:type="dxa"/>
              <w:bottom w:w="100.0" w:type="dxa"/>
              <w:right w:w="140.0" w:type="dxa"/>
            </w:tcMar>
            <w:vAlign w:val="center"/>
          </w:tcPr>
          <w:p w14:paraId="00000018">
            <w:pPr>
              <w:spacing w:after="200" w:lineRule="auto"/>
              <w:rPr>
                <w:b w:val="1"/>
                <w:bCs w:val="1"/>
                <w:sz w:val="17"/>
                <w:szCs w:val="17"/>
              </w:rPr>
            </w:pPr>
            <w:r>
              <w:rPr>
                <w:b w:val="1"/>
                <w:bCs w:val="1"/>
                <w:color w:val="111111"/>
                <w:sz w:val="17"/>
                <w:szCs w:val="17"/>
                <w:rtl w:val="0"/>
              </w:rPr>
              <w:t xml:space="preserve">Currency / Scale</w:t>
            </w:r>
            <w:r>
              <w:rPr>
                <w:rtl w:val="0"/>
              </w:rPr>
            </w:r>
          </w:p>
        </w:tc>
        <w:tc>
          <w:tcPr>
            <w:tcBorders>
              <w:top w:color="000000" w:space="0" w:sz="0" w:val="nil"/>
              <w:left w:color="000000" w:space="0" w:sz="0" w:val="nil"/>
              <w:bottom w:color="e6e6e6" w:space="0" w:sz="7" w:val="single"/>
              <w:right w:color="e6e6e6" w:space="0" w:sz="7" w:val="single"/>
            </w:tcBorders>
            <w:shd w:fill="ffffff" w:val="clear"/>
            <w:tcMar>
              <w:top w:w="100.0" w:type="dxa"/>
              <w:left w:w="160.0" w:type="dxa"/>
              <w:bottom w:w="100.0" w:type="dxa"/>
              <w:right w:w="140.0" w:type="dxa"/>
            </w:tcMar>
            <w:vAlign w:val="center"/>
          </w:tcPr>
          <w:p w14:paraId="00000019">
            <w:pPr>
              <w:spacing w:after="200" w:lineRule="auto"/>
              <w:rPr>
                <w:sz w:val="17"/>
                <w:szCs w:val="17"/>
              </w:rPr>
            </w:pPr>
            <w:r>
              <w:rPr>
                <w:color w:val="111111"/>
                <w:sz w:val="17"/>
                <w:szCs w:val="17"/>
                <w:rtl w:val="0"/>
              </w:rPr>
              <w:t xml:space="preserve">[Currency and scale]</w:t>
            </w:r>
            <w:r>
              <w:rPr>
                <w:rtl w:val="0"/>
              </w:rPr>
            </w:r>
          </w:p>
        </w:tc>
      </w:tr>
    </w:tbl>
    <w:p w14:paraId="0000001A">
      <w:pPr>
        <w:spacing w:after="200" w:before="320" w:lineRule="auto"/>
        <w:rPr>
          <w:b w:val="1"/>
          <w:bCs w:val="1"/>
        </w:rPr>
      </w:pPr>
      <w:r>
        <w:rPr>
          <w:rtl w:val="0"/>
        </w:rPr>
      </w:r>
    </w:p>
    <w:p w14:paraId="0000001B">
      <w:pPr>
        <w:spacing w:after="200" w:before="320" w:lineRule="auto"/>
        <w:rPr>
          <w:b w:val="1"/>
          <w:bCs w:val="1"/>
        </w:rPr>
      </w:pPr>
      <w:r>
        <w:br w:type="page"/>
      </w:r>
      <w:r>
        <w:rPr>
          <w:rtl w:val="0"/>
        </w:rPr>
      </w:r>
    </w:p>
    <w:p w14:paraId="0000001C">
      <w:pPr>
        <w:pStyle w:val="Heading1"/>
        <w:keepNext w:val="1"/>
        <w:pageBreakBefore w:val="0"/>
        <w:spacing w:after="200" w:before="320" w:line="240" w:lineRule="auto"/>
        <w:rPr/>
      </w:pPr>
      <w:r>
        <w:rPr>
          <w:rFonts w:ascii="Arial" w:cs="Arial" w:eastAsia="Arial" w:hAnsi="Arial"/>
          <w:b w:val="1"/>
          <w:bCs w:val="1"/>
          <w:i w:val="0"/>
          <w:iCs w:val="0"/>
          <w:color w:val="111111"/>
          <w:sz w:val="22"/>
          <w:szCs w:val="22"/>
          <w:rtl w:val="0"/>
        </w:rPr>
        <w:t xml:space="preserve">1.   Executive Summary, Recommendation, and Decision Requested</w:t>
      </w:r>
      <w:r>
        <w:rPr>
          <w:rtl w:val="0"/>
        </w:rPr>
      </w:r>
    </w:p>
    <w:p w14:paraId="0000001D">
      <w:pPr>
        <w:keepNext w:val="0"/>
        <w:pageBreakBefore w:val="0"/>
        <w:spacing w:after="160" w:before="60" w:line="240" w:lineRule="auto"/>
        <w:rPr/>
      </w:pPr>
      <w:r>
        <w:rPr>
          <w:rFonts w:ascii="Arial" w:cs="Arial" w:eastAsia="Arial" w:hAnsi="Arial"/>
          <w:b w:val="1"/>
          <w:bCs w:val="1"/>
          <w:i w:val="0"/>
          <w:iCs w:val="0"/>
          <w:color w:val="111111"/>
          <w:sz w:val="18"/>
          <w:szCs w:val="18"/>
          <w:rtl w:val="0"/>
        </w:rPr>
        <w:t xml:space="preserve">Recommendation:  </w:t>
      </w:r>
      <w:r>
        <w:rPr>
          <w:rFonts w:ascii="Arial" w:cs="Arial" w:eastAsia="Arial" w:hAnsi="Arial"/>
          <w:b w:val="0"/>
          <w:bCs w:val="0"/>
          <w:i w:val="0"/>
          <w:iCs w:val="0"/>
          <w:color w:val="111111"/>
          <w:sz w:val="18"/>
          <w:szCs w:val="18"/>
          <w:rtl w:val="0"/>
        </w:rPr>
        <w:t xml:space="preserve">[Approve / decline / defer the specific decision requested now. Summarize the principal underwriting rationale and any conditions.]</w:t>
      </w:r>
      <w:r>
        <w:rPr>
          <w:rtl w:val="0"/>
        </w:rPr>
      </w:r>
    </w:p>
    <w:tbl>
      <w:tblPr>
        <w:tblStyle w:val="Table2"/>
        <w:tblW w:w="9425.0" w:type="dxa"/>
        <w:jc w:val="left"/>
        <w:tblBorders>
          <w:top w:color="e6e6e6" w:space="0" w:sz="4" w:val="single"/>
          <w:left w:color="e6e6e6" w:space="0" w:sz="4" w:val="single"/>
          <w:bottom w:color="e6e6e6" w:space="0" w:sz="4" w:val="single"/>
          <w:right w:color="e6e6e6" w:space="0" w:sz="4" w:val="single"/>
          <w:insideH w:color="e6e6e6" w:space="0" w:sz="4" w:val="single"/>
          <w:insideV w:color="e6e6e6" w:space="0" w:sz="4" w:val="single"/>
        </w:tblBorders>
        <w:tblLayout w:type="fixed"/>
        <w:tblLook w:val="0600"/>
      </w:tblPr>
      <w:tblGrid>
        <w:gridCol w:w="1937"/>
        <w:gridCol w:w="1906"/>
        <w:gridCol w:w="1891"/>
        <w:gridCol w:w="1861"/>
        <w:gridCol w:w="1830"/>
        <w:tblGridChange w:id="0">
          <w:tblGrid>
            <w:gridCol w:w="1937"/>
            <w:gridCol w:w="1906"/>
            <w:gridCol w:w="1891"/>
            <w:gridCol w:w="1861"/>
            <w:gridCol w:w="1830"/>
          </w:tblGrid>
        </w:tblGridChange>
      </w:tblGrid>
      <w:tr>
        <w:trPr>
          <w:cantSplit w:val="0"/>
          <w:trHeight w:val="334" w:hRule="atLeast"/>
          <w:tblHeader w:val="1"/>
        </w:trPr>
        <w:tc>
          <w:tcPr>
            <w:tcMar>
              <w:top w:w="120.0" w:type="dxa"/>
              <w:left w:w="140.0" w:type="dxa"/>
              <w:bottom w:w="120.0" w:type="dxa"/>
              <w:right w:w="140.0" w:type="dxa"/>
            </w:tcMar>
          </w:tcPr>
          <w:p w14:paraId="0000001E">
            <w:pPr>
              <w:spacing w:after="200" w:lineRule="auto"/>
              <w:jc w:val="center"/>
              <w:rPr>
                <w:b w:val="1"/>
                <w:bCs w:val="1"/>
                <w:sz w:val="17"/>
                <w:szCs w:val="17"/>
              </w:rPr>
            </w:pPr>
            <w:r>
              <w:rPr>
                <w:b w:val="1"/>
                <w:bCs w:val="1"/>
                <w:color w:val="111111"/>
                <w:sz w:val="17"/>
                <w:szCs w:val="17"/>
                <w:rtl w:val="0"/>
              </w:rPr>
              <w:t xml:space="preserve">Amount Requested Now</w:t>
            </w:r>
            <w:r>
              <w:rPr>
                <w:rtl w:val="0"/>
              </w:rPr>
            </w:r>
          </w:p>
        </w:tc>
        <w:tc>
          <w:tcPr>
            <w:tcMar>
              <w:top w:w="120.0" w:type="dxa"/>
              <w:left w:w="140.0" w:type="dxa"/>
              <w:bottom w:w="120.0" w:type="dxa"/>
              <w:right w:w="140.0" w:type="dxa"/>
            </w:tcMar>
          </w:tcPr>
          <w:p w14:paraId="0000001F">
            <w:pPr>
              <w:spacing w:after="200" w:lineRule="auto"/>
              <w:jc w:val="center"/>
              <w:rPr>
                <w:b w:val="1"/>
                <w:bCs w:val="1"/>
                <w:sz w:val="17"/>
                <w:szCs w:val="17"/>
              </w:rPr>
            </w:pPr>
            <w:r>
              <w:rPr>
                <w:b w:val="1"/>
                <w:bCs w:val="1"/>
                <w:color w:val="111111"/>
                <w:sz w:val="17"/>
                <w:szCs w:val="17"/>
                <w:rtl w:val="0"/>
              </w:rPr>
              <w:t xml:space="preserve">Total Potential Exposure</w:t>
            </w:r>
            <w:r>
              <w:rPr>
                <w:rtl w:val="0"/>
              </w:rPr>
            </w:r>
          </w:p>
        </w:tc>
        <w:tc>
          <w:tcPr>
            <w:tcMar>
              <w:top w:w="120.0" w:type="dxa"/>
              <w:left w:w="140.0" w:type="dxa"/>
              <w:bottom w:w="120.0" w:type="dxa"/>
              <w:right w:w="140.0" w:type="dxa"/>
            </w:tcMar>
          </w:tcPr>
          <w:p w14:paraId="00000020">
            <w:pPr>
              <w:spacing w:after="200" w:lineRule="auto"/>
              <w:jc w:val="center"/>
              <w:rPr>
                <w:b w:val="1"/>
                <w:bCs w:val="1"/>
                <w:sz w:val="17"/>
                <w:szCs w:val="17"/>
              </w:rPr>
            </w:pPr>
            <w:r>
              <w:rPr>
                <w:b w:val="1"/>
                <w:bCs w:val="1"/>
                <w:color w:val="111111"/>
                <w:sz w:val="17"/>
                <w:szCs w:val="17"/>
                <w:rtl w:val="0"/>
              </w:rPr>
              <w:t xml:space="preserve">Entry Valuation / Price</w:t>
            </w:r>
            <w:r>
              <w:rPr>
                <w:rtl w:val="0"/>
              </w:rPr>
            </w:r>
          </w:p>
        </w:tc>
        <w:tc>
          <w:tcPr>
            <w:tcMar>
              <w:top w:w="120.0" w:type="dxa"/>
              <w:left w:w="140.0" w:type="dxa"/>
              <w:bottom w:w="120.0" w:type="dxa"/>
              <w:right w:w="140.0" w:type="dxa"/>
            </w:tcMar>
          </w:tcPr>
          <w:p w14:paraId="00000021">
            <w:pPr>
              <w:spacing w:after="200" w:lineRule="auto"/>
              <w:jc w:val="center"/>
              <w:rPr>
                <w:b w:val="1"/>
                <w:bCs w:val="1"/>
                <w:sz w:val="17"/>
                <w:szCs w:val="17"/>
              </w:rPr>
            </w:pPr>
            <w:r>
              <w:rPr>
                <w:b w:val="1"/>
                <w:bCs w:val="1"/>
                <w:color w:val="111111"/>
                <w:sz w:val="17"/>
                <w:szCs w:val="17"/>
                <w:rtl w:val="0"/>
              </w:rPr>
              <w:t xml:space="preserve">Base-Case Return</w:t>
            </w:r>
            <w:r>
              <w:rPr>
                <w:rtl w:val="0"/>
              </w:rPr>
            </w:r>
          </w:p>
        </w:tc>
        <w:tc>
          <w:tcPr>
            <w:shd w:fill="111111" w:val="clear"/>
            <w:tcMar>
              <w:top w:w="120.0" w:type="dxa"/>
              <w:left w:w="140.0" w:type="dxa"/>
              <w:bottom w:w="120.0" w:type="dxa"/>
              <w:right w:w="140.0" w:type="dxa"/>
            </w:tcMar>
          </w:tcPr>
          <w:p w14:paraId="00000022">
            <w:pPr>
              <w:spacing w:after="200" w:lineRule="auto"/>
              <w:jc w:val="center"/>
              <w:rPr>
                <w:b w:val="1"/>
                <w:bCs w:val="1"/>
                <w:color w:val="ffffff"/>
                <w:sz w:val="17"/>
                <w:szCs w:val="17"/>
              </w:rPr>
            </w:pPr>
            <w:r>
              <w:rPr>
                <w:b w:val="1"/>
                <w:bCs w:val="1"/>
                <w:color w:val="ffffff"/>
                <w:sz w:val="17"/>
                <w:szCs w:val="17"/>
                <w:rtl w:val="0"/>
              </w:rPr>
              <w:t xml:space="preserve">Primary Operating KPI</w:t>
            </w:r>
          </w:p>
        </w:tc>
      </w:tr>
      <w:tr>
        <w:trPr>
          <w:cantSplit w:val="0"/>
          <w:trHeight w:val="269" w:hRule="atLeast"/>
          <w:tblHeader w:val="0"/>
        </w:trPr>
        <w:tc>
          <w:tcPr>
            <w:tcMar>
              <w:top w:w="100.0" w:type="dxa"/>
              <w:left w:w="140.0" w:type="dxa"/>
              <w:bottom w:w="100.0" w:type="dxa"/>
              <w:right w:w="140.0" w:type="dxa"/>
            </w:tcMar>
          </w:tcPr>
          <w:p w14:paraId="00000023">
            <w:pPr>
              <w:spacing w:after="200" w:lineRule="auto"/>
              <w:jc w:val="center"/>
              <w:rPr>
                <w:sz w:val="17"/>
                <w:szCs w:val="17"/>
              </w:rPr>
            </w:pPr>
            <w:r>
              <w:rPr>
                <w:color w:val="111111"/>
                <w:sz w:val="17"/>
                <w:szCs w:val="17"/>
                <w:rtl w:val="0"/>
              </w:rPr>
              <w:t xml:space="preserve">[Incremental authorization]</w:t>
            </w:r>
            <w:r>
              <w:rPr>
                <w:rtl w:val="0"/>
              </w:rPr>
            </w:r>
          </w:p>
        </w:tc>
        <w:tc>
          <w:tcPr>
            <w:tcMar>
              <w:top w:w="100.0" w:type="dxa"/>
              <w:left w:w="140.0" w:type="dxa"/>
              <w:bottom w:w="100.0" w:type="dxa"/>
              <w:right w:w="140.0" w:type="dxa"/>
            </w:tcMar>
          </w:tcPr>
          <w:p w14:paraId="00000024">
            <w:pPr>
              <w:spacing w:after="200" w:lineRule="auto"/>
              <w:jc w:val="center"/>
              <w:rPr>
                <w:sz w:val="17"/>
                <w:szCs w:val="17"/>
              </w:rPr>
            </w:pPr>
            <w:r>
              <w:rPr>
                <w:color w:val="111111"/>
                <w:sz w:val="17"/>
                <w:szCs w:val="17"/>
                <w:rtl w:val="0"/>
              </w:rPr>
              <w:t xml:space="preserve">[All capital components]</w:t>
            </w:r>
            <w:r>
              <w:rPr>
                <w:rtl w:val="0"/>
              </w:rPr>
            </w:r>
          </w:p>
        </w:tc>
        <w:tc>
          <w:tcPr>
            <w:tcMar>
              <w:top w:w="100.0" w:type="dxa"/>
              <w:left w:w="140.0" w:type="dxa"/>
              <w:bottom w:w="100.0" w:type="dxa"/>
              <w:right w:w="140.0" w:type="dxa"/>
            </w:tcMar>
          </w:tcPr>
          <w:p w14:paraId="00000025">
            <w:pPr>
              <w:spacing w:after="200" w:lineRule="auto"/>
              <w:jc w:val="center"/>
              <w:rPr>
                <w:sz w:val="17"/>
                <w:szCs w:val="17"/>
              </w:rPr>
            </w:pPr>
            <w:r>
              <w:rPr>
                <w:color w:val="111111"/>
                <w:sz w:val="17"/>
                <w:szCs w:val="17"/>
                <w:rtl w:val="0"/>
              </w:rPr>
              <w:t xml:space="preserve">[Relevant price / value]</w:t>
            </w:r>
            <w:r>
              <w:rPr>
                <w:rtl w:val="0"/>
              </w:rPr>
            </w:r>
          </w:p>
        </w:tc>
        <w:tc>
          <w:tcPr>
            <w:tcMar>
              <w:top w:w="100.0" w:type="dxa"/>
              <w:left w:w="140.0" w:type="dxa"/>
              <w:bottom w:w="100.0" w:type="dxa"/>
              <w:right w:w="140.0" w:type="dxa"/>
            </w:tcMar>
          </w:tcPr>
          <w:p w14:paraId="00000026">
            <w:pPr>
              <w:spacing w:after="200" w:lineRule="auto"/>
              <w:jc w:val="center"/>
              <w:rPr>
                <w:sz w:val="17"/>
                <w:szCs w:val="17"/>
              </w:rPr>
            </w:pPr>
            <w:r>
              <w:rPr>
                <w:color w:val="111111"/>
                <w:sz w:val="17"/>
                <w:szCs w:val="17"/>
                <w:rtl w:val="0"/>
              </w:rPr>
              <w:t xml:space="preserve">[Metric, value, horizon]</w:t>
            </w:r>
            <w:r>
              <w:rPr>
                <w:rtl w:val="0"/>
              </w:rPr>
            </w:r>
          </w:p>
        </w:tc>
        <w:tc>
          <w:tcPr>
            <w:shd w:fill="ffffff" w:val="clear"/>
            <w:tcMar>
              <w:top w:w="100.0" w:type="dxa"/>
              <w:left w:w="140.0" w:type="dxa"/>
              <w:bottom w:w="100.0" w:type="dxa"/>
              <w:right w:w="140.0" w:type="dxa"/>
            </w:tcMar>
          </w:tcPr>
          <w:p w14:paraId="00000027">
            <w:pPr>
              <w:spacing w:after="200" w:lineRule="auto"/>
              <w:jc w:val="center"/>
              <w:rPr>
                <w:b w:val="1"/>
                <w:bCs w:val="1"/>
                <w:sz w:val="18"/>
                <w:szCs w:val="18"/>
              </w:rPr>
            </w:pPr>
            <w:r>
              <w:rPr>
                <w:b w:val="1"/>
                <w:bCs w:val="1"/>
                <w:color w:val="111111"/>
                <w:sz w:val="18"/>
                <w:szCs w:val="18"/>
                <w:rtl w:val="0"/>
              </w:rPr>
              <w:t xml:space="preserve">[Metric, period, as-of]</w:t>
            </w:r>
            <w:r>
              <w:rPr>
                <w:rtl w:val="0"/>
              </w:rPr>
            </w:r>
          </w:p>
        </w:tc>
      </w:tr>
    </w:tbl>
    <w:p w14:paraId="00000028">
      <w:pPr>
        <w:keepNext w:val="0"/>
        <w:pageBreakBefore w:val="0"/>
        <w:spacing w:after="20" w:before="0" w:line="240" w:lineRule="auto"/>
        <w:rPr/>
      </w:pPr>
      <w:r>
        <w:rPr>
          <w:rtl w:val="0"/>
        </w:rPr>
      </w:r>
    </w:p>
    <w:p w14:paraId="00000029">
      <w:pPr>
        <w:keepNext w:val="0"/>
        <w:pageBreakBefore w:val="0"/>
        <w:pBdr>
          <w:left w:color="111111" w:space="5" w:sz="16" w:val="single"/>
        </w:pBdr>
        <w:shd w:fill="f7f7f7" w:val="clear"/>
        <w:spacing w:after="180" w:before="60" w:line="240" w:lineRule="auto"/>
        <w:ind w:left="140" w:right="140" w:firstLine="0"/>
        <w:rPr/>
      </w:pPr>
      <w:r>
        <w:rPr>
          <w:rFonts w:ascii="Arial" w:cs="Arial" w:eastAsia="Arial" w:hAnsi="Arial"/>
          <w:b w:val="1"/>
          <w:bCs w:val="1"/>
          <w:i w:val="0"/>
          <w:iCs w:val="0"/>
          <w:color w:val="111111"/>
          <w:sz w:val="17"/>
          <w:szCs w:val="17"/>
          <w:rtl w:val="0"/>
        </w:rPr>
        <w:t xml:space="preserve">Capital definitions:  </w:t>
      </w:r>
      <w:r>
        <w:rPr>
          <w:rFonts w:ascii="Arial" w:cs="Arial" w:eastAsia="Arial" w:hAnsi="Arial"/>
          <w:b w:val="0"/>
          <w:bCs w:val="0"/>
          <w:i w:val="0"/>
          <w:iCs w:val="0"/>
          <w:color w:val="111111"/>
          <w:sz w:val="17"/>
          <w:szCs w:val="17"/>
          <w:rtl w:val="0"/>
        </w:rPr>
        <w:t xml:space="preserve">Current Commitment is capital approved, committed, or funded before this decision. Amount Requested Now is the incremental authorization sought at this meeting. Future capital is conditional and is not authorized by this decision. Total Potential Exposure includes all components unless explicitly stated otherwise.</w:t>
      </w:r>
      <w:r>
        <w:rPr>
          <w:rtl w:val="0"/>
        </w:rPr>
      </w:r>
    </w:p>
    <w:p w14:paraId="0000002A">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Decision and exposure</w:t>
      </w:r>
      <w:r>
        <w:rPr>
          <w:rtl w:val="0"/>
        </w:rPr>
      </w:r>
    </w:p>
    <w:tbl>
      <w:tblPr>
        <w:tblStyle w:val="Table3"/>
        <w:tblW w:w="9345.0" w:type="dxa"/>
        <w:jc w:val="left"/>
        <w:tblLayout w:type="fixed"/>
        <w:tblLook w:val="0400"/>
      </w:tblPr>
      <w:tblGrid>
        <w:gridCol w:w="2200"/>
        <w:gridCol w:w="1150"/>
        <w:gridCol w:w="3600"/>
        <w:gridCol w:w="2395"/>
        <w:tblGridChange w:id="0">
          <w:tblGrid>
            <w:gridCol w:w="2200"/>
            <w:gridCol w:w="1150"/>
            <w:gridCol w:w="3600"/>
            <w:gridCol w:w="2395"/>
          </w:tblGrid>
        </w:tblGridChange>
      </w:tblGrid>
      <w:tr>
        <w:trPr>
          <w:cantSplit w:val="0"/>
          <w:trHeight w:val="480" w:hRule="atLeast"/>
          <w:tblHeader w:val="1"/>
        </w:trPr>
        <w:tc>
          <w:tcPr>
            <w:tcBorders>
              <w:top w:color="e6e6e6" w:space="0" w:sz="4" w:val="single"/>
              <w:bottom w:color="e6e6e6" w:space="0" w:sz="4" w:val="single"/>
            </w:tcBorders>
            <w:shd w:fill="111111" w:val="clear"/>
            <w:tcMar>
              <w:top w:w="120.0" w:type="dxa"/>
              <w:bottom w:w="120.0" w:type="dxa"/>
            </w:tcMar>
            <w:vAlign w:val="center"/>
          </w:tcPr>
          <w:p w14:paraId="0000002B">
            <w:pPr>
              <w:keepNext w:val="0"/>
              <w:spacing w:after="0" w:before="0" w:line="240" w:lineRule="auto"/>
              <w:jc w:val="center"/>
              <w:rPr/>
            </w:pPr>
            <w:r>
              <w:rPr>
                <w:rFonts w:ascii="Arial" w:cs="Arial" w:eastAsia="Arial" w:hAnsi="Arial"/>
                <w:b w:val="1"/>
                <w:bCs w:val="1"/>
                <w:i w:val="0"/>
                <w:iCs w:val="0"/>
                <w:color w:val="ffffff"/>
                <w:sz w:val="16"/>
                <w:szCs w:val="16"/>
                <w:rtl w:val="0"/>
              </w:rPr>
              <w:t xml:space="preserve">Capital component</w:t>
            </w:r>
            <w:r>
              <w:rPr>
                <w:rtl w:val="0"/>
              </w:rPr>
            </w:r>
          </w:p>
        </w:tc>
        <w:tc>
          <w:tcPr>
            <w:tcBorders>
              <w:top w:color="e6e6e6" w:space="0" w:sz="4" w:val="single"/>
              <w:bottom w:color="e6e6e6" w:space="0" w:sz="4" w:val="single"/>
            </w:tcBorders>
            <w:shd w:fill="111111" w:val="clear"/>
            <w:tcMar>
              <w:top w:w="120.0" w:type="dxa"/>
              <w:bottom w:w="120.0" w:type="dxa"/>
            </w:tcMar>
            <w:vAlign w:val="center"/>
          </w:tcPr>
          <w:p w14:paraId="0000002C">
            <w:pPr>
              <w:keepNext w:val="0"/>
              <w:spacing w:after="0" w:before="0" w:line="240" w:lineRule="auto"/>
              <w:jc w:val="center"/>
              <w:rPr/>
            </w:pPr>
            <w:r>
              <w:rPr>
                <w:rFonts w:ascii="Arial" w:cs="Arial" w:eastAsia="Arial" w:hAnsi="Arial"/>
                <w:b w:val="1"/>
                <w:bCs w:val="1"/>
                <w:i w:val="0"/>
                <w:iCs w:val="0"/>
                <w:color w:val="ffffff"/>
                <w:sz w:val="16"/>
                <w:szCs w:val="16"/>
                <w:rtl w:val="0"/>
              </w:rPr>
              <w:t xml:space="preserve">Amount</w:t>
            </w:r>
            <w:r>
              <w:rPr>
                <w:rtl w:val="0"/>
              </w:rPr>
            </w:r>
          </w:p>
        </w:tc>
        <w:tc>
          <w:tcPr>
            <w:tcBorders>
              <w:top w:color="e6e6e6" w:space="0" w:sz="4" w:val="single"/>
              <w:bottom w:color="e6e6e6" w:space="0" w:sz="4" w:val="single"/>
            </w:tcBorders>
            <w:shd w:fill="111111" w:val="clear"/>
            <w:tcMar>
              <w:top w:w="120.0" w:type="dxa"/>
              <w:bottom w:w="120.0" w:type="dxa"/>
            </w:tcMar>
            <w:vAlign w:val="center"/>
          </w:tcPr>
          <w:p w14:paraId="0000002D">
            <w:pPr>
              <w:keepNext w:val="0"/>
              <w:spacing w:after="0" w:before="0" w:line="240" w:lineRule="auto"/>
              <w:jc w:val="center"/>
              <w:rPr/>
            </w:pPr>
            <w:r>
              <w:rPr>
                <w:rFonts w:ascii="Arial" w:cs="Arial" w:eastAsia="Arial" w:hAnsi="Arial"/>
                <w:b w:val="1"/>
                <w:bCs w:val="1"/>
                <w:i w:val="0"/>
                <w:iCs w:val="0"/>
                <w:color w:val="ffffff"/>
                <w:sz w:val="16"/>
                <w:szCs w:val="16"/>
                <w:rtl w:val="0"/>
              </w:rPr>
              <w:t xml:space="preserve">Authorization / timing</w:t>
            </w:r>
            <w:r>
              <w:rPr>
                <w:rtl w:val="0"/>
              </w:rPr>
            </w:r>
          </w:p>
        </w:tc>
        <w:tc>
          <w:tcPr>
            <w:tcBorders>
              <w:top w:color="e6e6e6" w:space="0" w:sz="4" w:val="single"/>
              <w:bottom w:color="e6e6e6" w:space="0" w:sz="4" w:val="single"/>
            </w:tcBorders>
            <w:shd w:fill="111111" w:val="clear"/>
            <w:tcMar>
              <w:top w:w="120.0" w:type="dxa"/>
              <w:bottom w:w="120.0" w:type="dxa"/>
            </w:tcMar>
            <w:vAlign w:val="center"/>
          </w:tcPr>
          <w:p w14:paraId="0000002E">
            <w:pPr>
              <w:keepNext w:val="0"/>
              <w:spacing w:after="0" w:before="0" w:line="240" w:lineRule="auto"/>
              <w:jc w:val="center"/>
              <w:rPr/>
            </w:pPr>
            <w:r>
              <w:rPr>
                <w:rFonts w:ascii="Arial" w:cs="Arial" w:eastAsia="Arial" w:hAnsi="Arial"/>
                <w:b w:val="1"/>
                <w:bCs w:val="1"/>
                <w:i w:val="0"/>
                <w:iCs w:val="0"/>
                <w:color w:val="ffffff"/>
                <w:sz w:val="16"/>
                <w:szCs w:val="16"/>
                <w:rtl w:val="0"/>
              </w:rPr>
              <w:t xml:space="preserve">Included in returns?</w:t>
            </w:r>
            <w:r>
              <w:rPr>
                <w:rtl w:val="0"/>
              </w:rPr>
            </w:r>
          </w:p>
        </w:tc>
      </w:tr>
      <w:tr>
        <w:trPr>
          <w:cantSplit w:val="1"/>
          <w:trHeight w:val="440" w:hRule="atLeast"/>
          <w:tblHeader w:val="0"/>
        </w:trPr>
        <w:tc>
          <w:tcPr>
            <w:tcBorders>
              <w:top w:color="e6e6e6" w:space="0" w:sz="4" w:val="single"/>
              <w:bottom w:color="e6e6e6" w:space="0" w:sz="4" w:val="single"/>
            </w:tcBorders>
            <w:shd w:fill="f7f7f7" w:val="clear"/>
            <w:tcMar>
              <w:top w:w="100.0" w:type="dxa"/>
              <w:bottom w:w="100.0" w:type="dxa"/>
            </w:tcMar>
            <w:vAlign w:val="center"/>
          </w:tcPr>
          <w:p w14:paraId="0000002F">
            <w:pPr>
              <w:keepNext w:val="0"/>
              <w:spacing w:after="0" w:before="0" w:line="240" w:lineRule="auto"/>
              <w:jc w:val="left"/>
              <w:rPr/>
            </w:pPr>
            <w:r>
              <w:rPr>
                <w:rFonts w:ascii="Arial" w:cs="Arial" w:eastAsia="Arial" w:hAnsi="Arial"/>
                <w:b w:val="0"/>
                <w:bCs w:val="0"/>
                <w:i w:val="0"/>
                <w:iCs w:val="0"/>
                <w:color w:val="111111"/>
                <w:sz w:val="16"/>
                <w:szCs w:val="16"/>
                <w:rtl w:val="0"/>
              </w:rPr>
              <w:t xml:space="preserve">Current commitment</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30">
            <w:pPr>
              <w:keepNext w:val="0"/>
              <w:spacing w:after="0" w:before="0" w:line="240" w:lineRule="auto"/>
              <w:jc w:val="right"/>
              <w:rPr/>
            </w:pPr>
            <w:r>
              <w:rPr>
                <w:rFonts w:ascii="Arial" w:cs="Arial" w:eastAsia="Arial" w:hAnsi="Arial"/>
                <w:b w:val="0"/>
                <w:bCs w:val="0"/>
                <w:i w:val="0"/>
                <w:iCs w:val="0"/>
                <w:color w:val="111111"/>
                <w:sz w:val="16"/>
                <w:szCs w:val="16"/>
                <w:rtl w:val="0"/>
              </w:rPr>
              <w:t xml:space="preserve">[Amount]</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31">
            <w:pPr>
              <w:keepNext w:val="0"/>
              <w:spacing w:after="0" w:before="0" w:line="240" w:lineRule="auto"/>
              <w:jc w:val="left"/>
              <w:rPr/>
            </w:pPr>
            <w:r>
              <w:rPr>
                <w:rFonts w:ascii="Arial" w:cs="Arial" w:eastAsia="Arial" w:hAnsi="Arial"/>
                <w:b w:val="0"/>
                <w:bCs w:val="0"/>
                <w:i w:val="0"/>
                <w:iCs w:val="0"/>
                <w:color w:val="111111"/>
                <w:sz w:val="16"/>
                <w:szCs w:val="16"/>
                <w:rtl w:val="0"/>
              </w:rPr>
              <w:t xml:space="preserve">[Already approved / committed / funded; date]</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32">
            <w:pPr>
              <w:keepNext w:val="0"/>
              <w:spacing w:after="0" w:before="0" w:line="240" w:lineRule="auto"/>
              <w:jc w:val="left"/>
              <w:rPr/>
            </w:pPr>
            <w:r>
              <w:rPr>
                <w:rFonts w:ascii="Arial" w:cs="Arial" w:eastAsia="Arial" w:hAnsi="Arial"/>
                <w:b w:val="0"/>
                <w:bCs w:val="0"/>
                <w:i w:val="0"/>
                <w:iCs w:val="0"/>
                <w:color w:val="111111"/>
                <w:sz w:val="16"/>
                <w:szCs w:val="16"/>
                <w:rtl w:val="0"/>
              </w:rPr>
              <w:t xml:space="preserve">[Yes / No; explain]</w:t>
            </w:r>
            <w:r>
              <w:rPr>
                <w:rtl w:val="0"/>
              </w:rPr>
            </w:r>
          </w:p>
        </w:tc>
      </w:tr>
      <w:tr>
        <w:trPr>
          <w:cantSplit w:val="1"/>
          <w:trHeight w:val="440" w:hRule="atLeast"/>
          <w:tblHeader w:val="0"/>
        </w:trPr>
        <w:tc>
          <w:tcPr>
            <w:tcBorders>
              <w:top w:color="e6e6e6" w:space="0" w:sz="4" w:val="single"/>
              <w:bottom w:color="e6e6e6" w:space="0" w:sz="4" w:val="single"/>
            </w:tcBorders>
            <w:shd w:fill="ffffff" w:val="clear"/>
            <w:tcMar>
              <w:top w:w="100.0" w:type="dxa"/>
              <w:bottom w:w="100.0" w:type="dxa"/>
            </w:tcMar>
            <w:vAlign w:val="center"/>
          </w:tcPr>
          <w:p w14:paraId="00000033">
            <w:pPr>
              <w:keepNext w:val="0"/>
              <w:spacing w:after="0" w:before="0" w:line="240" w:lineRule="auto"/>
              <w:jc w:val="left"/>
              <w:rPr/>
            </w:pPr>
            <w:r>
              <w:rPr>
                <w:rFonts w:ascii="Arial" w:cs="Arial" w:eastAsia="Arial" w:hAnsi="Arial"/>
                <w:b w:val="0"/>
                <w:bCs w:val="0"/>
                <w:i w:val="0"/>
                <w:iCs w:val="0"/>
                <w:color w:val="111111"/>
                <w:sz w:val="16"/>
                <w:szCs w:val="16"/>
                <w:rtl w:val="0"/>
              </w:rPr>
              <w:t xml:space="preserve">Amount requested now</w:t>
            </w:r>
            <w:r>
              <w:rPr>
                <w:rtl w:val="0"/>
              </w:rPr>
            </w:r>
          </w:p>
        </w:tc>
        <w:tc>
          <w:tcPr>
            <w:tcBorders>
              <w:top w:color="e6e6e6" w:space="0" w:sz="4" w:val="single"/>
              <w:bottom w:color="e6e6e6" w:space="0" w:sz="4" w:val="single"/>
            </w:tcBorders>
            <w:shd w:fill="ffffff" w:val="clear"/>
            <w:tcMar>
              <w:top w:w="100.0" w:type="dxa"/>
              <w:bottom w:w="100.0" w:type="dxa"/>
            </w:tcMar>
            <w:vAlign w:val="center"/>
          </w:tcPr>
          <w:p w14:paraId="00000034">
            <w:pPr>
              <w:keepNext w:val="0"/>
              <w:spacing w:after="0" w:before="0" w:line="240" w:lineRule="auto"/>
              <w:jc w:val="right"/>
              <w:rPr/>
            </w:pPr>
            <w:r>
              <w:rPr>
                <w:rFonts w:ascii="Arial" w:cs="Arial" w:eastAsia="Arial" w:hAnsi="Arial"/>
                <w:b w:val="0"/>
                <w:bCs w:val="0"/>
                <w:i w:val="0"/>
                <w:iCs w:val="0"/>
                <w:color w:val="111111"/>
                <w:sz w:val="16"/>
                <w:szCs w:val="16"/>
                <w:rtl w:val="0"/>
              </w:rPr>
              <w:t xml:space="preserve">[Amount]</w:t>
            </w:r>
            <w:r>
              <w:rPr>
                <w:rtl w:val="0"/>
              </w:rPr>
            </w:r>
          </w:p>
        </w:tc>
        <w:tc>
          <w:tcPr>
            <w:tcBorders>
              <w:top w:color="e6e6e6" w:space="0" w:sz="4" w:val="single"/>
              <w:bottom w:color="e6e6e6" w:space="0" w:sz="4" w:val="single"/>
            </w:tcBorders>
            <w:shd w:fill="ffffff" w:val="clear"/>
            <w:tcMar>
              <w:top w:w="100.0" w:type="dxa"/>
              <w:bottom w:w="100.0" w:type="dxa"/>
            </w:tcMar>
            <w:vAlign w:val="center"/>
          </w:tcPr>
          <w:p w14:paraId="00000035">
            <w:pPr>
              <w:keepNext w:val="0"/>
              <w:spacing w:after="0" w:before="0" w:line="240" w:lineRule="auto"/>
              <w:jc w:val="left"/>
              <w:rPr/>
            </w:pPr>
            <w:r>
              <w:rPr>
                <w:rFonts w:ascii="Arial" w:cs="Arial" w:eastAsia="Arial" w:hAnsi="Arial"/>
                <w:b w:val="0"/>
                <w:bCs w:val="0"/>
                <w:i w:val="0"/>
                <w:iCs w:val="0"/>
                <w:color w:val="111111"/>
                <w:sz w:val="16"/>
                <w:szCs w:val="16"/>
                <w:rtl w:val="0"/>
              </w:rPr>
              <w:t xml:space="preserve">Authorization requested at this meeting; [timing]</w:t>
            </w:r>
            <w:r>
              <w:rPr>
                <w:rtl w:val="0"/>
              </w:rPr>
            </w:r>
          </w:p>
        </w:tc>
        <w:tc>
          <w:tcPr>
            <w:tcBorders>
              <w:top w:color="e6e6e6" w:space="0" w:sz="4" w:val="single"/>
              <w:bottom w:color="e6e6e6" w:space="0" w:sz="4" w:val="single"/>
            </w:tcBorders>
            <w:shd w:fill="ffffff" w:val="clear"/>
            <w:tcMar>
              <w:top w:w="100.0" w:type="dxa"/>
              <w:bottom w:w="100.0" w:type="dxa"/>
            </w:tcMar>
            <w:vAlign w:val="center"/>
          </w:tcPr>
          <w:p w14:paraId="00000036">
            <w:pPr>
              <w:keepNext w:val="0"/>
              <w:spacing w:after="0" w:before="0" w:line="240" w:lineRule="auto"/>
              <w:jc w:val="left"/>
              <w:rPr/>
            </w:pPr>
            <w:r>
              <w:rPr>
                <w:rFonts w:ascii="Arial" w:cs="Arial" w:eastAsia="Arial" w:hAnsi="Arial"/>
                <w:b w:val="0"/>
                <w:bCs w:val="0"/>
                <w:i w:val="0"/>
                <w:iCs w:val="0"/>
                <w:color w:val="111111"/>
                <w:sz w:val="16"/>
                <w:szCs w:val="16"/>
                <w:rtl w:val="0"/>
              </w:rPr>
              <w:t xml:space="preserve">[Yes / No; explain]</w:t>
            </w:r>
            <w:r>
              <w:rPr>
                <w:rtl w:val="0"/>
              </w:rPr>
            </w:r>
          </w:p>
        </w:tc>
      </w:tr>
      <w:tr>
        <w:trPr>
          <w:cantSplit w:val="1"/>
          <w:trHeight w:val="440" w:hRule="atLeast"/>
          <w:tblHeader w:val="0"/>
        </w:trPr>
        <w:tc>
          <w:tcPr>
            <w:tcBorders>
              <w:top w:color="e6e6e6" w:space="0" w:sz="4" w:val="single"/>
              <w:bottom w:color="e6e6e6" w:space="0" w:sz="4" w:val="single"/>
            </w:tcBorders>
            <w:shd w:fill="f7f7f7" w:val="clear"/>
            <w:tcMar>
              <w:top w:w="100.0" w:type="dxa"/>
              <w:bottom w:w="100.0" w:type="dxa"/>
            </w:tcMar>
            <w:vAlign w:val="center"/>
          </w:tcPr>
          <w:p w14:paraId="00000037">
            <w:pPr>
              <w:keepNext w:val="0"/>
              <w:spacing w:after="0" w:before="0" w:line="240" w:lineRule="auto"/>
              <w:jc w:val="left"/>
              <w:rPr/>
            </w:pPr>
            <w:r>
              <w:rPr>
                <w:rFonts w:ascii="Arial" w:cs="Arial" w:eastAsia="Arial" w:hAnsi="Arial"/>
                <w:b w:val="0"/>
                <w:bCs w:val="0"/>
                <w:i w:val="0"/>
                <w:iCs w:val="0"/>
                <w:color w:val="111111"/>
                <w:sz w:val="16"/>
                <w:szCs w:val="16"/>
                <w:rtl w:val="0"/>
              </w:rPr>
              <w:t xml:space="preserve">Conditional future capital</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38">
            <w:pPr>
              <w:keepNext w:val="0"/>
              <w:spacing w:after="0" w:before="0" w:line="240" w:lineRule="auto"/>
              <w:jc w:val="right"/>
              <w:rPr/>
            </w:pPr>
            <w:r>
              <w:rPr>
                <w:rFonts w:ascii="Arial" w:cs="Arial" w:eastAsia="Arial" w:hAnsi="Arial"/>
                <w:b w:val="0"/>
                <w:bCs w:val="0"/>
                <w:i w:val="0"/>
                <w:iCs w:val="0"/>
                <w:color w:val="111111"/>
                <w:sz w:val="16"/>
                <w:szCs w:val="16"/>
                <w:rtl w:val="0"/>
              </w:rPr>
              <w:t xml:space="preserve">[Amount / range]</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39">
            <w:pPr>
              <w:keepNext w:val="0"/>
              <w:spacing w:after="0" w:before="0" w:line="240" w:lineRule="auto"/>
              <w:jc w:val="left"/>
              <w:rPr/>
            </w:pPr>
            <w:r>
              <w:rPr>
                <w:rFonts w:ascii="Arial" w:cs="Arial" w:eastAsia="Arial" w:hAnsi="Arial"/>
                <w:b w:val="0"/>
                <w:bCs w:val="0"/>
                <w:i w:val="0"/>
                <w:iCs w:val="0"/>
                <w:color w:val="111111"/>
                <w:sz w:val="16"/>
                <w:szCs w:val="16"/>
                <w:rtl w:val="0"/>
              </w:rPr>
              <w:t xml:space="preserve">Not authorized now; [future milestone / approval]</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3A">
            <w:pPr>
              <w:keepNext w:val="0"/>
              <w:spacing w:after="0" w:before="0" w:line="240" w:lineRule="auto"/>
              <w:jc w:val="left"/>
              <w:rPr/>
            </w:pPr>
            <w:r>
              <w:rPr>
                <w:rFonts w:ascii="Arial" w:cs="Arial" w:eastAsia="Arial" w:hAnsi="Arial"/>
                <w:b w:val="0"/>
                <w:bCs w:val="0"/>
                <w:i w:val="0"/>
                <w:iCs w:val="0"/>
                <w:color w:val="111111"/>
                <w:sz w:val="16"/>
                <w:szCs w:val="16"/>
                <w:rtl w:val="0"/>
              </w:rPr>
              <w:t xml:space="preserve">[Scenario treatment]</w:t>
            </w:r>
            <w:r>
              <w:rPr>
                <w:rtl w:val="0"/>
              </w:rPr>
            </w:r>
          </w:p>
        </w:tc>
      </w:tr>
      <w:tr>
        <w:trPr>
          <w:cantSplit w:val="1"/>
          <w:trHeight w:val="440" w:hRule="atLeast"/>
          <w:tblHeader w:val="0"/>
        </w:trPr>
        <w:tc>
          <w:tcPr>
            <w:tcBorders>
              <w:top w:color="e6e6e6" w:space="0" w:sz="4" w:val="single"/>
              <w:bottom w:color="e6e6e6" w:space="0" w:sz="4" w:val="single"/>
            </w:tcBorders>
            <w:shd w:fill="111111" w:val="clear"/>
            <w:tcMar>
              <w:top w:w="100.0" w:type="dxa"/>
              <w:bottom w:w="100.0" w:type="dxa"/>
            </w:tcMar>
            <w:vAlign w:val="center"/>
          </w:tcPr>
          <w:p w14:paraId="0000003B">
            <w:pPr>
              <w:keepNext w:val="0"/>
              <w:spacing w:after="0" w:before="0" w:line="240" w:lineRule="auto"/>
              <w:jc w:val="left"/>
              <w:rPr/>
            </w:pPr>
            <w:r>
              <w:rPr>
                <w:rFonts w:ascii="Arial" w:cs="Arial" w:eastAsia="Arial" w:hAnsi="Arial"/>
                <w:b w:val="1"/>
                <w:bCs w:val="1"/>
                <w:i w:val="0"/>
                <w:iCs w:val="0"/>
                <w:color w:val="ffffff"/>
                <w:sz w:val="16"/>
                <w:szCs w:val="16"/>
                <w:rtl w:val="0"/>
              </w:rPr>
              <w:t xml:space="preserve">Total potential exposure</w:t>
            </w:r>
            <w:r>
              <w:rPr>
                <w:rtl w:val="0"/>
              </w:rPr>
            </w:r>
          </w:p>
        </w:tc>
        <w:tc>
          <w:tcPr>
            <w:tcBorders>
              <w:top w:color="e6e6e6" w:space="0" w:sz="4" w:val="single"/>
              <w:bottom w:color="e6e6e6" w:space="0" w:sz="4" w:val="single"/>
            </w:tcBorders>
            <w:shd w:fill="111111" w:val="clear"/>
            <w:tcMar>
              <w:top w:w="100.0" w:type="dxa"/>
              <w:bottom w:w="100.0" w:type="dxa"/>
            </w:tcMar>
            <w:vAlign w:val="center"/>
          </w:tcPr>
          <w:p w14:paraId="0000003C">
            <w:pPr>
              <w:keepNext w:val="0"/>
              <w:spacing w:after="0" w:before="0" w:line="240" w:lineRule="auto"/>
              <w:jc w:val="right"/>
              <w:rPr/>
            </w:pPr>
            <w:r>
              <w:rPr>
                <w:rFonts w:ascii="Arial" w:cs="Arial" w:eastAsia="Arial" w:hAnsi="Arial"/>
                <w:b w:val="1"/>
                <w:bCs w:val="1"/>
                <w:i w:val="0"/>
                <w:iCs w:val="0"/>
                <w:color w:val="ffffff"/>
                <w:sz w:val="16"/>
                <w:szCs w:val="16"/>
                <w:rtl w:val="0"/>
              </w:rPr>
              <w:t xml:space="preserve">[Total]</w:t>
            </w:r>
            <w:r>
              <w:rPr>
                <w:rtl w:val="0"/>
              </w:rPr>
            </w:r>
          </w:p>
        </w:tc>
        <w:tc>
          <w:tcPr>
            <w:tcBorders>
              <w:top w:color="e6e6e6" w:space="0" w:sz="4" w:val="single"/>
              <w:bottom w:color="e6e6e6" w:space="0" w:sz="4" w:val="single"/>
            </w:tcBorders>
            <w:shd w:fill="111111" w:val="clear"/>
            <w:tcMar>
              <w:top w:w="100.0" w:type="dxa"/>
              <w:bottom w:w="100.0" w:type="dxa"/>
            </w:tcMar>
            <w:vAlign w:val="center"/>
          </w:tcPr>
          <w:p w14:paraId="0000003D">
            <w:pPr>
              <w:keepNext w:val="0"/>
              <w:spacing w:after="0" w:before="0" w:line="240" w:lineRule="auto"/>
              <w:jc w:val="left"/>
              <w:rPr/>
            </w:pPr>
            <w:r>
              <w:rPr>
                <w:rFonts w:ascii="Arial" w:cs="Arial" w:eastAsia="Arial" w:hAnsi="Arial"/>
                <w:b w:val="1"/>
                <w:bCs w:val="1"/>
                <w:i w:val="0"/>
                <w:iCs w:val="0"/>
                <w:color w:val="ffffff"/>
                <w:sz w:val="16"/>
                <w:szCs w:val="16"/>
                <w:rtl w:val="0"/>
              </w:rPr>
              <w:t xml:space="preserve">Exposure summary; not a single authorization</w:t>
            </w:r>
            <w:r>
              <w:rPr>
                <w:rtl w:val="0"/>
              </w:rPr>
            </w:r>
          </w:p>
        </w:tc>
        <w:tc>
          <w:tcPr>
            <w:tcBorders>
              <w:top w:color="e6e6e6" w:space="0" w:sz="4" w:val="single"/>
              <w:bottom w:color="e6e6e6" w:space="0" w:sz="4" w:val="single"/>
            </w:tcBorders>
            <w:shd w:fill="111111" w:val="clear"/>
            <w:tcMar>
              <w:top w:w="100.0" w:type="dxa"/>
              <w:bottom w:w="100.0" w:type="dxa"/>
            </w:tcMar>
            <w:vAlign w:val="center"/>
          </w:tcPr>
          <w:p w14:paraId="0000003E">
            <w:pPr>
              <w:keepNext w:val="0"/>
              <w:spacing w:after="0" w:before="0" w:line="240" w:lineRule="auto"/>
              <w:jc w:val="left"/>
              <w:rPr/>
            </w:pPr>
            <w:r>
              <w:rPr>
                <w:rFonts w:ascii="Arial" w:cs="Arial" w:eastAsia="Arial" w:hAnsi="Arial"/>
                <w:b w:val="1"/>
                <w:bCs w:val="1"/>
                <w:i w:val="0"/>
                <w:iCs w:val="0"/>
                <w:color w:val="ffffff"/>
                <w:sz w:val="16"/>
                <w:szCs w:val="16"/>
                <w:rtl w:val="0"/>
              </w:rPr>
              <w:t xml:space="preserve">[Reconcile to scenarios]</w:t>
            </w:r>
            <w:r>
              <w:rPr>
                <w:rtl w:val="0"/>
              </w:rPr>
            </w:r>
          </w:p>
        </w:tc>
      </w:tr>
    </w:tbl>
    <w:p w14:paraId="0000003F">
      <w:pPr>
        <w:keepNext w:val="0"/>
        <w:pageBreakBefore w:val="0"/>
        <w:spacing w:after="20" w:before="0" w:line="240" w:lineRule="auto"/>
        <w:rPr/>
      </w:pPr>
      <w:r>
        <w:rPr>
          <w:rtl w:val="0"/>
        </w:rPr>
      </w:r>
    </w:p>
    <w:p w14:paraId="00000040">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Underwriting at a glance</w:t>
      </w:r>
      <w:r>
        <w:rPr>
          <w:rtl w:val="0"/>
        </w:rPr>
      </w:r>
    </w:p>
    <w:p w14:paraId="00000041">
      <w:pPr>
        <w:keepNext w:val="0"/>
        <w:pageBreakBefore w:val="0"/>
        <w:numPr>
          <w:ilvl w:val="0"/>
          <w:numId w:val="1"/>
        </w:numPr>
        <w:spacing w:after="100" w:before="20" w:line="240" w:lineRule="auto"/>
        <w:ind w:left="720" w:hanging="360"/>
        <w:rPr/>
      </w:pPr>
      <w:r>
        <w:rPr>
          <w:rFonts w:ascii="Arial" w:cs="Arial" w:eastAsia="Arial" w:hAnsi="Arial"/>
          <w:b w:val="1"/>
          <w:bCs w:val="1"/>
          <w:i w:val="0"/>
          <w:iCs w:val="0"/>
          <w:color w:val="111111"/>
          <w:sz w:val="18"/>
          <w:szCs w:val="18"/>
          <w:rtl w:val="0"/>
        </w:rPr>
        <w:t xml:space="preserve">Why invest?  </w:t>
      </w:r>
      <w:r>
        <w:rPr>
          <w:rFonts w:ascii="Arial" w:cs="Arial" w:eastAsia="Arial" w:hAnsi="Arial"/>
          <w:b w:val="0"/>
          <w:bCs w:val="0"/>
          <w:i w:val="0"/>
          <w:iCs w:val="0"/>
          <w:color w:val="111111"/>
          <w:sz w:val="18"/>
          <w:szCs w:val="18"/>
          <w:rtl w:val="0"/>
        </w:rPr>
        <w:t xml:space="preserve">[State the core opportunity and why it is attractive now.]</w:t>
      </w:r>
      <w:r>
        <w:rPr>
          <w:rtl w:val="0"/>
        </w:rPr>
      </w:r>
    </w:p>
    <w:p w14:paraId="00000042">
      <w:pPr>
        <w:keepNext w:val="0"/>
        <w:pageBreakBefore w:val="0"/>
        <w:numPr>
          <w:ilvl w:val="0"/>
          <w:numId w:val="1"/>
        </w:numPr>
        <w:spacing w:after="100" w:before="20" w:line="240" w:lineRule="auto"/>
        <w:ind w:left="720" w:hanging="360"/>
        <w:rPr/>
      </w:pPr>
      <w:r>
        <w:rPr>
          <w:rFonts w:ascii="Arial" w:cs="Arial" w:eastAsia="Arial" w:hAnsi="Arial"/>
          <w:b w:val="1"/>
          <w:bCs w:val="1"/>
          <w:i w:val="0"/>
          <w:iCs w:val="0"/>
          <w:color w:val="111111"/>
          <w:sz w:val="18"/>
          <w:szCs w:val="18"/>
          <w:rtl w:val="0"/>
        </w:rPr>
        <w:t xml:space="preserve">What supports the case?  </w:t>
      </w:r>
      <w:r>
        <w:rPr>
          <w:rFonts w:ascii="Arial" w:cs="Arial" w:eastAsia="Arial" w:hAnsi="Arial"/>
          <w:b w:val="0"/>
          <w:bCs w:val="0"/>
          <w:i w:val="0"/>
          <w:iCs w:val="0"/>
          <w:color w:val="111111"/>
          <w:sz w:val="18"/>
          <w:szCs w:val="18"/>
          <w:rtl w:val="0"/>
        </w:rPr>
        <w:t xml:space="preserve">[Identify the strongest evidence supporting the thesis.]</w:t>
      </w:r>
      <w:r>
        <w:rPr>
          <w:rtl w:val="0"/>
        </w:rPr>
      </w:r>
    </w:p>
    <w:p w14:paraId="00000043">
      <w:pPr>
        <w:keepNext w:val="0"/>
        <w:pageBreakBefore w:val="0"/>
        <w:numPr>
          <w:ilvl w:val="0"/>
          <w:numId w:val="1"/>
        </w:numPr>
        <w:spacing w:after="100" w:before="20" w:line="240" w:lineRule="auto"/>
        <w:ind w:left="720" w:hanging="360"/>
        <w:rPr/>
      </w:pPr>
      <w:r>
        <w:rPr>
          <w:rFonts w:ascii="Arial" w:cs="Arial" w:eastAsia="Arial" w:hAnsi="Arial"/>
          <w:b w:val="1"/>
          <w:bCs w:val="1"/>
          <w:i w:val="0"/>
          <w:iCs w:val="0"/>
          <w:color w:val="111111"/>
          <w:sz w:val="18"/>
          <w:szCs w:val="18"/>
          <w:rtl w:val="0"/>
        </w:rPr>
        <w:t xml:space="preserve">What could break it?  </w:t>
      </w:r>
      <w:r>
        <w:rPr>
          <w:rFonts w:ascii="Arial" w:cs="Arial" w:eastAsia="Arial" w:hAnsi="Arial"/>
          <w:b w:val="0"/>
          <w:bCs w:val="0"/>
          <w:i w:val="0"/>
          <w:iCs w:val="0"/>
          <w:color w:val="111111"/>
          <w:sz w:val="18"/>
          <w:szCs w:val="18"/>
          <w:rtl w:val="0"/>
        </w:rPr>
        <w:t xml:space="preserve">[Identify the failure mode with the greatest effect on value or returns.]</w:t>
      </w:r>
      <w:r>
        <w:rPr>
          <w:rtl w:val="0"/>
        </w:rPr>
      </w:r>
    </w:p>
    <w:p w14:paraId="00000044">
      <w:pPr>
        <w:keepNext w:val="0"/>
        <w:pageBreakBefore w:val="0"/>
        <w:numPr>
          <w:ilvl w:val="0"/>
          <w:numId w:val="1"/>
        </w:numPr>
        <w:spacing w:after="100" w:before="20" w:line="240" w:lineRule="auto"/>
        <w:ind w:left="720" w:hanging="360"/>
        <w:rPr/>
      </w:pPr>
      <w:r>
        <w:rPr>
          <w:rFonts w:ascii="Arial" w:cs="Arial" w:eastAsia="Arial" w:hAnsi="Arial"/>
          <w:b w:val="1"/>
          <w:bCs w:val="1"/>
          <w:i w:val="0"/>
          <w:iCs w:val="0"/>
          <w:color w:val="111111"/>
          <w:sz w:val="18"/>
          <w:szCs w:val="18"/>
          <w:rtl w:val="0"/>
        </w:rPr>
        <w:t xml:space="preserve">Do terms and returns compensate for risk?  </w:t>
      </w:r>
      <w:r>
        <w:rPr>
          <w:rFonts w:ascii="Arial" w:cs="Arial" w:eastAsia="Arial" w:hAnsi="Arial"/>
          <w:b w:val="0"/>
          <w:bCs w:val="0"/>
          <w:i w:val="0"/>
          <w:iCs w:val="0"/>
          <w:color w:val="111111"/>
          <w:sz w:val="18"/>
          <w:szCs w:val="18"/>
          <w:rtl w:val="0"/>
        </w:rPr>
        <w:t xml:space="preserve">[State the conclusion and supporting evidence.]</w:t>
      </w:r>
      <w:r>
        <w:rPr>
          <w:rtl w:val="0"/>
        </w:rPr>
      </w:r>
    </w:p>
    <w:p w14:paraId="00000045">
      <w:pPr>
        <w:keepNext w:val="0"/>
        <w:pageBreakBefore w:val="0"/>
        <w:spacing w:after="160" w:before="60" w:line="240" w:lineRule="auto"/>
        <w:rPr/>
      </w:pPr>
      <w:r>
        <w:rPr>
          <w:rFonts w:ascii="Arial" w:cs="Arial" w:eastAsia="Arial" w:hAnsi="Arial"/>
          <w:b w:val="1"/>
          <w:bCs w:val="1"/>
          <w:i w:val="0"/>
          <w:iCs w:val="0"/>
          <w:color w:val="111111"/>
          <w:sz w:val="18"/>
          <w:szCs w:val="18"/>
          <w:rtl w:val="0"/>
        </w:rPr>
        <w:t xml:space="preserve">Key highlights:  </w:t>
      </w:r>
      <w:r>
        <w:rPr>
          <w:rFonts w:ascii="Arial" w:cs="Arial" w:eastAsia="Arial" w:hAnsi="Arial"/>
          <w:b w:val="0"/>
          <w:bCs w:val="0"/>
          <w:i w:val="0"/>
          <w:iCs w:val="0"/>
          <w:color w:val="111111"/>
          <w:sz w:val="18"/>
          <w:szCs w:val="18"/>
          <w:rtl w:val="0"/>
        </w:rPr>
        <w:t xml:space="preserve">[Highlight 1] · [Highlight 2] · [Highlight 3]</w:t>
      </w:r>
      <w:r>
        <w:rPr>
          <w:rtl w:val="0"/>
        </w:rPr>
      </w:r>
    </w:p>
    <w:p w14:paraId="00000046">
      <w:pPr>
        <w:keepNext w:val="0"/>
        <w:pageBreakBefore w:val="0"/>
        <w:spacing w:after="160" w:before="60" w:line="240" w:lineRule="auto"/>
        <w:rPr/>
      </w:pPr>
      <w:r>
        <w:rPr>
          <w:rFonts w:ascii="Arial" w:cs="Arial" w:eastAsia="Arial" w:hAnsi="Arial"/>
          <w:b w:val="1"/>
          <w:bCs w:val="1"/>
          <w:i w:val="0"/>
          <w:iCs w:val="0"/>
          <w:color w:val="111111"/>
          <w:sz w:val="18"/>
          <w:szCs w:val="18"/>
          <w:rtl w:val="0"/>
        </w:rPr>
        <w:t xml:space="preserve">Top risks:  </w:t>
      </w:r>
      <w:r>
        <w:rPr>
          <w:rFonts w:ascii="Arial" w:cs="Arial" w:eastAsia="Arial" w:hAnsi="Arial"/>
          <w:b w:val="0"/>
          <w:bCs w:val="0"/>
          <w:i w:val="0"/>
          <w:iCs w:val="0"/>
          <w:color w:val="111111"/>
          <w:sz w:val="18"/>
          <w:szCs w:val="18"/>
          <w:rtl w:val="0"/>
        </w:rPr>
        <w:t xml:space="preserve">[Risk 1 and impact] · [Risk 2 and impact] · [Risk 3 and impact]</w:t>
      </w:r>
      <w:r>
        <w:rPr>
          <w:rtl w:val="0"/>
        </w:rPr>
      </w:r>
    </w:p>
    <w:p w14:paraId="00000047">
      <w:pPr>
        <w:pStyle w:val="Heading1"/>
        <w:keepNext w:val="1"/>
        <w:pageBreakBefore w:val="1"/>
        <w:spacing w:after="200" w:before="320" w:line="240" w:lineRule="auto"/>
        <w:rPr/>
      </w:pPr>
      <w:r>
        <w:rPr>
          <w:rFonts w:ascii="Arial" w:cs="Arial" w:eastAsia="Arial" w:hAnsi="Arial"/>
          <w:b w:val="1"/>
          <w:bCs w:val="1"/>
          <w:i w:val="0"/>
          <w:iCs w:val="0"/>
          <w:color w:val="111111"/>
          <w:sz w:val="22"/>
          <w:szCs w:val="22"/>
          <w:rtl w:val="0"/>
        </w:rPr>
        <w:t xml:space="preserve">2.   Investment Thesis</w:t>
      </w:r>
      <w:r>
        <w:rPr>
          <w:rtl w:val="0"/>
        </w:rPr>
      </w:r>
    </w:p>
    <w:p w14:paraId="00000048">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[Thesis 1: short title]</w:t>
      </w:r>
      <w:r>
        <w:rPr>
          <w:rtl w:val="0"/>
        </w:rPr>
      </w:r>
    </w:p>
    <w:p w14:paraId="00000049">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We believe [state the thesis in one sentence]. This view is supported by [specific evidence], based on [source and as-of date]. The thesis requires [testable condition]; if that condition fails, [underwriting impact].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4A">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[Thesis 2: short title]</w:t>
      </w:r>
      <w:r>
        <w:rPr>
          <w:rtl w:val="0"/>
        </w:rPr>
      </w:r>
    </w:p>
    <w:p w14:paraId="0000004B">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We believe [state the thesis in one sentence]. This view is supported by [specific evidence], based on [source and as-of date]. The thesis requires [testable condition]; if that condition fails, [underwriting impact].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4C">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[Thesis 3: short title]</w:t>
      </w:r>
      <w:r>
        <w:rPr>
          <w:rtl w:val="0"/>
        </w:rPr>
      </w:r>
    </w:p>
    <w:p w14:paraId="0000004D">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We believe [state the thesis in one sentence]. This view is supported by [specific evidence], based on [source and as-of date]. The thesis requires [testable condition]; if that condition fails, [underwriting impact].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4E">
      <w:pPr>
        <w:pStyle w:val="Heading1"/>
        <w:keepNext w:val="1"/>
        <w:pageBreakBefore w:val="0"/>
        <w:spacing w:after="200" w:before="320" w:line="240" w:lineRule="auto"/>
        <w:rPr/>
      </w:pPr>
      <w:r>
        <w:rPr>
          <w:rFonts w:ascii="Arial" w:cs="Arial" w:eastAsia="Arial" w:hAnsi="Arial"/>
          <w:b w:val="1"/>
          <w:bCs w:val="1"/>
          <w:i w:val="0"/>
          <w:iCs w:val="0"/>
          <w:color w:val="111111"/>
          <w:sz w:val="22"/>
          <w:szCs w:val="22"/>
          <w:rtl w:val="0"/>
        </w:rPr>
        <w:t xml:space="preserve">3.   Company and Product</w:t>
      </w:r>
      <w:r>
        <w:rPr>
          <w:rtl w:val="0"/>
        </w:rPr>
      </w:r>
    </w:p>
    <w:p w14:paraId="0000004F">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Business overview</w:t>
      </w:r>
      <w:r>
        <w:rPr>
          <w:rtl w:val="0"/>
        </w:rPr>
      </w:r>
    </w:p>
    <w:p w14:paraId="00000050">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[Describe what the company or asset does, how it creates value, its current stage, and the parts of the business most relevant to the investment case.]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51">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Product and customer value</w:t>
      </w:r>
      <w:r>
        <w:rPr>
          <w:rtl w:val="0"/>
        </w:rPr>
      </w:r>
    </w:p>
    <w:p w14:paraId="00000052">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[Describe the product or service, the problem it solves, the primary user and buyer, and the measurable reason customers choose it.]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53">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Customer and use case</w:t>
      </w:r>
      <w:r>
        <w:rPr>
          <w:rtl w:val="0"/>
        </w:rPr>
      </w:r>
    </w:p>
    <w:p w14:paraId="00000054">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[Explain the priority customer segments, purchase process, use cases, and any material concentration or adoption constraints.]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55">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Differentiation and defensibility</w:t>
      </w:r>
      <w:r>
        <w:rPr>
          <w:rtl w:val="0"/>
        </w:rPr>
      </w:r>
    </w:p>
    <w:p w14:paraId="00000056">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[Explain why the offering is meaningfully different, how durable that advantage is, and what could erode it.]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57">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Operating model</w:t>
      </w:r>
      <w:r>
        <w:rPr>
          <w:rtl w:val="0"/>
        </w:rPr>
      </w:r>
    </w:p>
    <w:p w14:paraId="00000058">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[Describe how the company delivers and supports the offering, the resources required to scale it, and any material operational dependencies.]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59">
      <w:pPr>
        <w:keepNext w:val="0"/>
        <w:pageBreakBefore w:val="0"/>
        <w:spacing w:after="160" w:before="60" w:line="240" w:lineRule="auto"/>
        <w:rPr/>
      </w:pPr>
      <w:r>
        <w:rPr>
          <w:rFonts w:ascii="Arial" w:cs="Arial" w:eastAsia="Arial" w:hAnsi="Arial"/>
          <w:b w:val="1"/>
          <w:bCs w:val="1"/>
          <w:i w:val="0"/>
          <w:iCs w:val="0"/>
          <w:color w:val="111111"/>
          <w:sz w:val="18"/>
          <w:szCs w:val="18"/>
          <w:rtl w:val="0"/>
        </w:rPr>
        <w:t xml:space="preserve">Sources:  </w:t>
      </w:r>
      <w:r>
        <w:rPr>
          <w:rFonts w:ascii="Arial" w:cs="Arial" w:eastAsia="Arial" w:hAnsi="Arial"/>
          <w:b w:val="0"/>
          <w:bCs w:val="0"/>
          <w:i w:val="0"/>
          <w:iCs w:val="0"/>
          <w:color w:val="111111"/>
          <w:sz w:val="18"/>
          <w:szCs w:val="18"/>
          <w:rtl w:val="0"/>
        </w:rPr>
        <w:t xml:space="preserve">[List supporting sources and as-of dates.]</w:t>
      </w:r>
      <w:r>
        <w:rPr>
          <w:rtl w:val="0"/>
        </w:rPr>
      </w:r>
    </w:p>
    <w:p w14:paraId="0000005A">
      <w:pPr>
        <w:pStyle w:val="Heading1"/>
        <w:keepNext w:val="1"/>
        <w:pageBreakBefore w:val="1"/>
        <w:spacing w:after="200" w:before="320" w:line="240" w:lineRule="auto"/>
        <w:rPr/>
      </w:pPr>
      <w:r>
        <w:rPr>
          <w:rFonts w:ascii="Arial" w:cs="Arial" w:eastAsia="Arial" w:hAnsi="Arial"/>
          <w:b w:val="1"/>
          <w:bCs w:val="1"/>
          <w:i w:val="0"/>
          <w:iCs w:val="0"/>
          <w:color w:val="111111"/>
          <w:sz w:val="22"/>
          <w:szCs w:val="22"/>
          <w:rtl w:val="0"/>
        </w:rPr>
        <w:t xml:space="preserve">4.   TAM and Market Opportunity</w:t>
      </w:r>
      <w:r>
        <w:rPr>
          <w:rtl w:val="0"/>
        </w:rPr>
      </w:r>
    </w:p>
    <w:p w14:paraId="0000005B">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Market definition and size</w:t>
      </w:r>
      <w:r>
        <w:rPr>
          <w:rtl w:val="0"/>
        </w:rPr>
      </w:r>
    </w:p>
    <w:p w14:paraId="0000005C">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[Define the market precisely, including customer, product boundary, geography, and period. State the estimated TAM, method, source, and as-of date.]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5D">
      <w:pPr>
        <w:keepNext w:val="1"/>
        <w:pageBreakBefore w:val="0"/>
        <w:spacing w:after="60" w:before="60" w:line="240" w:lineRule="auto"/>
        <w:jc w:val="center"/>
        <w:rPr/>
      </w:pPr>
      <w:r>
        <w:rPr/>
        <w:drawing>
          <wp:inline distB="0" distT="0" distL="114300" distR="114300">
            <wp:extent cx="5715000" cy="2609188"/>
            <wp:effectExtent b="0" l="0" r="0" t="0"/>
            <wp:docPr descr="Illustrative horizontal bars for TAM, SAM, and SOM using placeholder index values of 100, 62, and 28. Replace with sourced market data." id="2" name="image3.png"/>
            <a:graphic>
              <a:graphicData uri="http://schemas.openxmlformats.org/drawingml/2006/picture">
                <pic:pic>
                  <pic:nvPicPr>
                    <pic:cNvPr descr="Illustrative horizontal bars for TAM, SAM, and SOM using placeholder index values of 100, 62, and 28. Replace with sourced market data." id="0" name="image3.png"/>
                    <pic:cNvPicPr preferRelativeResize="0"/>
                  </pic:nvPicPr>
                  <pic:blipFill>
                    <a:blip r:embed="rId8"/>
                    <a:srcRect b="0" l="0" r="0" t="0"/>
                    <a:stretch>
                      <a:fillRect/>
                    </a:stretch>
                  </pic:blipFill>
                  <pic:spPr>
                    <a:xfrm>
                      <a:off x="0" y="0"/>
                      <a:ext cx="5715000" cy="2609188"/>
                    </a:xfrm>
                    <a:prstGeom prst="rect"/>
                    <a:ln/>
                  </pic:spPr>
                </pic:pic>
              </a:graphicData>
            </a:graphic>
          </wp:inline>
        </w:drawing>
      </w:r>
      <w:r>
        <w:rPr>
          <w:rtl w:val="0"/>
        </w:rPr>
      </w:r>
    </w:p>
    <w:p w14:paraId="0000005E">
      <w:pPr>
        <w:keepNext w:val="0"/>
        <w:pageBreakBefore w:val="0"/>
        <w:spacing w:after="180" w:before="0" w:line="240" w:lineRule="auto"/>
        <w:jc w:val="left"/>
        <w:rPr/>
      </w:pPr>
      <w:r>
        <w:rPr>
          <w:rFonts w:ascii="Arial" w:cs="Arial" w:eastAsia="Arial" w:hAnsi="Arial"/>
          <w:b w:val="0"/>
          <w:bCs w:val="0"/>
          <w:i w:val="1"/>
          <w:iCs w:val="1"/>
          <w:color w:val="666666"/>
          <w:sz w:val="16"/>
          <w:szCs w:val="16"/>
          <w:rtl w:val="0"/>
        </w:rPr>
        <w:t xml:space="preserve">Figure 1. Illustrative market-sizing structure. Placeholder values only; replace with sourced data, methodology, geography, period, and as-of date.</w:t>
      </w:r>
      <w:r>
        <w:rPr>
          <w:rtl w:val="0"/>
        </w:rPr>
      </w:r>
    </w:p>
    <w:p w14:paraId="0000005F">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Reachable market</w:t>
      </w:r>
      <w:r>
        <w:rPr>
          <w:rtl w:val="0"/>
        </w:rPr>
      </w:r>
    </w:p>
    <w:p w14:paraId="00000060">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[Explain how SAM and near-term obtainable market are derived from TAM, which segments can realistically be served, and the timing of capture.]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61">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Growth and demand drivers</w:t>
      </w:r>
      <w:r>
        <w:rPr>
          <w:rtl w:val="0"/>
        </w:rPr>
      </w:r>
    </w:p>
    <w:p w14:paraId="00000062">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[Describe expected growth, structural and cyclical demand drivers, adoption constraints, and which evidence is independent versus management-provided.]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63">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Underwriting implication</w:t>
      </w:r>
      <w:r>
        <w:rPr>
          <w:rtl w:val="0"/>
        </w:rPr>
      </w:r>
    </w:p>
    <w:p w14:paraId="00000064">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[Explain how market size and growth translate into the operating assumptions in the investment case, and identify the market assumption to which returns are most sensitive.]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65">
      <w:pPr>
        <w:pStyle w:val="Heading1"/>
        <w:keepNext w:val="1"/>
        <w:pageBreakBefore w:val="1"/>
        <w:spacing w:after="200" w:before="320" w:line="240" w:lineRule="auto"/>
        <w:rPr/>
      </w:pPr>
      <w:r>
        <w:rPr>
          <w:rFonts w:ascii="Arial" w:cs="Arial" w:eastAsia="Arial" w:hAnsi="Arial"/>
          <w:b w:val="1"/>
          <w:bCs w:val="1"/>
          <w:i w:val="0"/>
          <w:iCs w:val="0"/>
          <w:color w:val="111111"/>
          <w:sz w:val="22"/>
          <w:szCs w:val="22"/>
          <w:rtl w:val="0"/>
        </w:rPr>
        <w:t xml:space="preserve">5.   Capitalization, Market Cap, and Ownership</w:t>
      </w:r>
      <w:r>
        <w:rPr>
          <w:rtl w:val="0"/>
        </w:rPr>
      </w:r>
    </w:p>
    <w:p w14:paraId="00000066">
      <w:pPr>
        <w:keepNext w:val="0"/>
        <w:pageBreakBefore w:val="0"/>
        <w:pBdr>
          <w:left w:color="111111" w:space="5" w:sz="16" w:val="single"/>
        </w:pBdr>
        <w:shd w:fill="f7f7f7" w:val="clear"/>
        <w:spacing w:after="180" w:before="60" w:line="240" w:lineRule="auto"/>
        <w:ind w:left="140" w:right="140" w:firstLine="0"/>
        <w:rPr/>
      </w:pPr>
      <w:r>
        <w:rPr>
          <w:rFonts w:ascii="Arial" w:cs="Arial" w:eastAsia="Arial" w:hAnsi="Arial"/>
          <w:b w:val="1"/>
          <w:bCs w:val="1"/>
          <w:i w:val="0"/>
          <w:iCs w:val="0"/>
          <w:color w:val="111111"/>
          <w:sz w:val="17"/>
          <w:szCs w:val="17"/>
          <w:rtl w:val="0"/>
        </w:rPr>
        <w:t xml:space="preserve">Applicability:  </w:t>
      </w:r>
      <w:r>
        <w:rPr>
          <w:rFonts w:ascii="Arial" w:cs="Arial" w:eastAsia="Arial" w:hAnsi="Arial"/>
          <w:b w:val="0"/>
          <w:bCs w:val="0"/>
          <w:i w:val="0"/>
          <w:iCs w:val="0"/>
          <w:color w:val="111111"/>
          <w:sz w:val="17"/>
          <w:szCs w:val="17"/>
          <w:rtl w:val="0"/>
        </w:rPr>
        <w:t xml:space="preserve">Complete where relevant. If not applicable, state why.</w:t>
      </w:r>
      <w:r>
        <w:rPr>
          <w:rtl w:val="0"/>
        </w:rPr>
      </w:r>
    </w:p>
    <w:p w14:paraId="00000067">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Current capitalization</w:t>
      </w:r>
      <w:r>
        <w:rPr>
          <w:rtl w:val="0"/>
        </w:rPr>
      </w:r>
    </w:p>
    <w:p w14:paraId="00000068">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As of [date], the current capital structure consists of [material equity classes, debt, options, warrants, or other claims]. On a [basic / fully diluted] basis, this implies [equity value / market capitalization], [enterprise value], and [net debt or cash], based on [source and method].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69">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Pro forma capitalization</w:t>
      </w:r>
      <w:r>
        <w:rPr>
          <w:rtl w:val="0"/>
        </w:rPr>
      </w:r>
    </w:p>
    <w:p w14:paraId="0000006A">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After the proposed transaction, the capital structure would change by [new securities, dilution, debt, or other effects]. Pro forma [equity value / enterprise value / share count] would be [value], and the principal change in economic or control rights would be [change].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6B">
      <w:pPr>
        <w:keepNext w:val="1"/>
        <w:pageBreakBefore w:val="0"/>
        <w:spacing w:after="60" w:before="60" w:line="240" w:lineRule="auto"/>
        <w:jc w:val="center"/>
        <w:rPr/>
      </w:pPr>
      <w:r>
        <w:rPr/>
        <w:drawing>
          <wp:inline distB="0" distT="0" distL="114300" distR="114300">
            <wp:extent cx="5715000" cy="2592069"/>
            <wp:effectExtent b="0" l="0" r="0" t="0"/>
            <wp:docPr descr="Illustrative 100 percent stacked bars comparing current and pro forma ownership across founders, employees, existing investors, and new capital. Replace with the verified cap table." id="4" name="image4.png"/>
            <a:graphic>
              <a:graphicData uri="http://schemas.openxmlformats.org/drawingml/2006/picture">
                <pic:pic>
                  <pic:nvPicPr>
                    <pic:cNvPr descr="Illustrative 100 percent stacked bars comparing current and pro forma ownership across founders, employees, existing investors, and new capital. Replace with the verified cap table." id="0" name="image4.png"/>
                    <pic:cNvPicPr preferRelativeResize="0"/>
                  </pic:nvPicPr>
                  <pic:blipFill>
                    <a:blip r:embed="rId9"/>
                    <a:srcRect b="0" l="0" r="0" t="0"/>
                    <a:stretch>
                      <a:fillRect/>
                    </a:stretch>
                  </pic:blipFill>
                  <pic:spPr>
                    <a:xfrm>
                      <a:off x="0" y="0"/>
                      <a:ext cx="5715000" cy="2592069"/>
                    </a:xfrm>
                    <a:prstGeom prst="rect"/>
                    <a:ln/>
                  </pic:spPr>
                </pic:pic>
              </a:graphicData>
            </a:graphic>
          </wp:inline>
        </w:drawing>
      </w:r>
      <w:r>
        <w:rPr>
          <w:rtl w:val="0"/>
        </w:rPr>
      </w:r>
    </w:p>
    <w:p w14:paraId="0000006C">
      <w:pPr>
        <w:keepNext w:val="0"/>
        <w:pageBreakBefore w:val="0"/>
        <w:spacing w:after="180" w:before="0" w:line="240" w:lineRule="auto"/>
        <w:jc w:val="left"/>
        <w:rPr/>
      </w:pPr>
      <w:r>
        <w:rPr>
          <w:rFonts w:ascii="Arial" w:cs="Arial" w:eastAsia="Arial" w:hAnsi="Arial"/>
          <w:b w:val="0"/>
          <w:bCs w:val="0"/>
          <w:i w:val="1"/>
          <w:iCs w:val="1"/>
          <w:color w:val="666666"/>
          <w:sz w:val="16"/>
          <w:szCs w:val="16"/>
          <w:rtl w:val="0"/>
        </w:rPr>
        <w:t xml:space="preserve">Figure 2. Illustrative current and pro forma ownership mix. Placeholder values only; replace with the verified cap table and as-of date.</w:t>
      </w:r>
      <w:r>
        <w:rPr>
          <w:rtl w:val="0"/>
        </w:rPr>
      </w:r>
    </w:p>
    <w:p w14:paraId="0000006D">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Ownership and governance</w:t>
      </w:r>
      <w:r>
        <w:rPr>
          <w:rtl w:val="0"/>
        </w:rPr>
      </w:r>
    </w:p>
    <w:p w14:paraId="0000006E">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Current ownership is concentrated among [holders or classes]. Following the transaction, [investor / sponsor / management / other holders] would own [interest or range], with [board, voting, consent, or control implications].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6F">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Underwriting implication</w:t>
      </w:r>
      <w:r>
        <w:rPr>
          <w:rtl w:val="0"/>
        </w:rPr>
      </w:r>
    </w:p>
    <w:p w14:paraId="00000070">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[Explain whether dilution, leverage, ownership concentration, or governance alignment strengthens or weakens the investment case.]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71">
      <w:pPr>
        <w:pStyle w:val="Heading1"/>
        <w:keepNext w:val="1"/>
        <w:pageBreakBefore w:val="1"/>
        <w:spacing w:after="200" w:before="320" w:line="240" w:lineRule="auto"/>
        <w:rPr/>
      </w:pPr>
      <w:r>
        <w:rPr>
          <w:rFonts w:ascii="Arial" w:cs="Arial" w:eastAsia="Arial" w:hAnsi="Arial"/>
          <w:b w:val="1"/>
          <w:bCs w:val="1"/>
          <w:i w:val="0"/>
          <w:iCs w:val="0"/>
          <w:color w:val="111111"/>
          <w:sz w:val="22"/>
          <w:szCs w:val="22"/>
          <w:rtl w:val="0"/>
        </w:rPr>
        <w:t xml:space="preserve">6.   Competitive Landscape and Public or Transaction Comps</w:t>
      </w:r>
      <w:r>
        <w:rPr>
          <w:rtl w:val="0"/>
        </w:rPr>
      </w:r>
    </w:p>
    <w:p w14:paraId="00000072">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Competitive landscape</w:t>
      </w:r>
      <w:r>
        <w:rPr>
          <w:rtl w:val="0"/>
        </w:rPr>
      </w:r>
    </w:p>
    <w:p w14:paraId="00000073">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[Describe the relevant competitive set, basis of competition, and where the company is advantaged or disadvantaged. Identify the competitor or substitute most capable of impairing the thesis.]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74">
      <w:pPr>
        <w:keepNext w:val="1"/>
        <w:pageBreakBefore w:val="0"/>
        <w:spacing w:after="60" w:before="60" w:line="240" w:lineRule="auto"/>
        <w:jc w:val="center"/>
        <w:rPr/>
      </w:pPr>
      <w:r>
        <w:rPr/>
        <w:drawing>
          <wp:inline distB="0" distT="0" distL="114300" distR="114300">
            <wp:extent cx="5715000" cy="3016577"/>
            <wp:effectExtent b="0" l="0" r="0" t="0"/>
            <wp:docPr descr="Illustrative two-by-two competitive positioning chart with the company and three peers plotted on differentiation and scale. All locations are placeholders." id="3" name="image5.png"/>
            <a:graphic>
              <a:graphicData uri="http://schemas.openxmlformats.org/drawingml/2006/picture">
                <pic:pic>
                  <pic:nvPicPr>
                    <pic:cNvPr descr="Illustrative two-by-two competitive positioning chart with the company and three peers plotted on differentiation and scale. All locations are placeholders." id="0" name="image5.png"/>
                    <pic:cNvPicPr preferRelativeResize="0"/>
                  </pic:nvPicPr>
                  <pic:blipFill>
                    <a:blip r:embed="rId10"/>
                    <a:srcRect b="0" l="0" r="0" t="0"/>
                    <a:stretch>
                      <a:fillRect/>
                    </a:stretch>
                  </pic:blipFill>
                  <pic:spPr>
                    <a:xfrm>
                      <a:off x="0" y="0"/>
                      <a:ext cx="5715000" cy="3016577"/>
                    </a:xfrm>
                    <a:prstGeom prst="rect"/>
                    <a:ln/>
                  </pic:spPr>
                </pic:pic>
              </a:graphicData>
            </a:graphic>
          </wp:inline>
        </w:drawing>
      </w:r>
      <w:r>
        <w:rPr>
          <w:rtl w:val="0"/>
        </w:rPr>
      </w:r>
    </w:p>
    <w:p w14:paraId="00000075">
      <w:pPr>
        <w:keepNext w:val="0"/>
        <w:pageBreakBefore w:val="0"/>
        <w:spacing w:after="180" w:before="0" w:line="240" w:lineRule="auto"/>
        <w:jc w:val="left"/>
        <w:rPr/>
      </w:pPr>
      <w:r>
        <w:rPr>
          <w:rFonts w:ascii="Arial" w:cs="Arial" w:eastAsia="Arial" w:hAnsi="Arial"/>
          <w:b w:val="0"/>
          <w:bCs w:val="0"/>
          <w:i w:val="1"/>
          <w:iCs w:val="1"/>
          <w:color w:val="666666"/>
          <w:sz w:val="16"/>
          <w:szCs w:val="16"/>
          <w:rtl w:val="0"/>
        </w:rPr>
        <w:t xml:space="preserve">Figure 3. Illustrative competitive positioning. Placeholder locations only; replace with consistently defined operating or valuation benchmarks and cite sources.</w:t>
      </w:r>
      <w:r>
        <w:rPr>
          <w:rtl w:val="0"/>
        </w:rPr>
      </w:r>
    </w:p>
    <w:p w14:paraId="00000076">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Public and transaction comparables</w:t>
      </w:r>
      <w:r>
        <w:rPr>
          <w:rtl w:val="0"/>
        </w:rPr>
      </w:r>
    </w:p>
    <w:p w14:paraId="00000077">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The most relevant public or transaction comparables are [names or categories] because [basis of relevance]. They indicate [operating or valuation benchmark], based on [source and date], with limitations from [scale, growth, margin, geography, model, timing, or market conditions].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78">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Underwriting takeaway</w:t>
      </w:r>
      <w:r>
        <w:rPr>
          <w:rtl w:val="0"/>
        </w:rPr>
      </w:r>
    </w:p>
    <w:p w14:paraId="00000079">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[Explain what the competitive and comparable evidence supports, what it does not support, and how it affects entry price, operating assumptions, or expected return.]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7A">
      <w:pPr>
        <w:pStyle w:val="Heading1"/>
        <w:keepNext w:val="1"/>
        <w:pageBreakBefore w:val="0"/>
        <w:spacing w:after="200" w:before="320" w:line="240" w:lineRule="auto"/>
        <w:rPr/>
      </w:pPr>
      <w:r>
        <w:rPr>
          <w:rFonts w:ascii="Arial" w:cs="Arial" w:eastAsia="Arial" w:hAnsi="Arial"/>
          <w:b w:val="1"/>
          <w:bCs w:val="1"/>
          <w:i w:val="0"/>
          <w:iCs w:val="0"/>
          <w:color w:val="111111"/>
          <w:sz w:val="22"/>
          <w:szCs w:val="22"/>
          <w:rtl w:val="0"/>
        </w:rPr>
        <w:t xml:space="preserve">7.   Team</w:t>
      </w:r>
      <w:r>
        <w:rPr>
          <w:rtl w:val="0"/>
        </w:rPr>
      </w:r>
    </w:p>
    <w:p w14:paraId="0000007B">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Leadership and execution fit</w:t>
      </w:r>
      <w:r>
        <w:rPr>
          <w:rtl w:val="0"/>
        </w:rPr>
      </w:r>
    </w:p>
    <w:p w14:paraId="0000007C">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[Describe the leaders most important to the case, the experience that makes them suited to the plan, and the evidence that they can execute at the required scale.]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7D">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Ownership, incentives, and governance</w:t>
      </w:r>
      <w:r>
        <w:rPr>
          <w:rtl w:val="0"/>
        </w:rPr>
      </w:r>
    </w:p>
    <w:p w14:paraId="0000007E">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[Explain management ownership, incentive alignment, board structure, decision rights, and governance features that materially affect execution or investor protection.]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7F">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Capability gaps and key-person risk</w:t>
      </w:r>
      <w:r>
        <w:rPr>
          <w:rtl w:val="0"/>
        </w:rPr>
      </w:r>
    </w:p>
    <w:p w14:paraId="00000080">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[Identify missing capabilities, planned hires, succession concerns, or individuals on whom the case depends disproportionately. State the timing and consequence of closing or failing to close each gap.]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81">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Underwriting conclusion</w:t>
      </w:r>
      <w:r>
        <w:rPr>
          <w:rtl w:val="0"/>
        </w:rPr>
      </w:r>
    </w:p>
    <w:p w14:paraId="00000082">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[State whether the team is a source of advantage, an acceptable execution risk, or a condition to investment, and explain why.]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83">
      <w:pPr>
        <w:pStyle w:val="Heading1"/>
        <w:keepNext w:val="1"/>
        <w:pageBreakBefore w:val="0"/>
        <w:spacing w:after="200" w:before="320" w:line="240" w:lineRule="auto"/>
        <w:rPr/>
      </w:pPr>
      <w:r>
        <w:rPr>
          <w:rFonts w:ascii="Arial" w:cs="Arial" w:eastAsia="Arial" w:hAnsi="Arial"/>
          <w:b w:val="1"/>
          <w:bCs w:val="1"/>
          <w:i w:val="0"/>
          <w:iCs w:val="0"/>
          <w:color w:val="111111"/>
          <w:sz w:val="22"/>
          <w:szCs w:val="22"/>
          <w:rtl w:val="0"/>
        </w:rPr>
        <w:t xml:space="preserve">8.   Traction and Key Operating Metrics</w:t>
      </w:r>
      <w:r>
        <w:rPr>
          <w:rtl w:val="0"/>
        </w:rPr>
      </w:r>
    </w:p>
    <w:p w14:paraId="00000084">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Operating trajectory</w:t>
      </w:r>
      <w:r>
        <w:rPr>
          <w:rtl w:val="0"/>
        </w:rPr>
      </w:r>
    </w:p>
    <w:p w14:paraId="00000085">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From [starting period] through [current period], [primary KPI] changed from [value] to [value], driven by [principal factors]. Over the same period, [secondary measure] changed from [value] to [value].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86">
      <w:pPr>
        <w:keepNext w:val="1"/>
        <w:pageBreakBefore w:val="0"/>
        <w:spacing w:after="60" w:before="60" w:line="240" w:lineRule="auto"/>
        <w:jc w:val="center"/>
        <w:rPr/>
      </w:pPr>
      <w:r>
        <w:rPr/>
        <w:drawing>
          <wp:inline distB="0" distT="0" distL="114300" distR="114300">
            <wp:extent cx="5715000" cy="2802657"/>
            <wp:effectExtent b="0" l="0" r="0" t="0"/>
            <wp:docPr descr="Illustrative line chart showing three operating KPI indices across two historical periods, the current period, and one forecast period. Replace all placeholder values." id="6" name="image1.png"/>
            <a:graphic>
              <a:graphicData uri="http://schemas.openxmlformats.org/drawingml/2006/picture">
                <pic:pic>
                  <pic:nvPicPr>
                    <pic:cNvPr descr="Illustrative line chart showing three operating KPI indices across two historical periods, the current period, and one forecast period. Replace all placeholder values." id="0" name="image1.png"/>
                    <pic:cNvPicPr preferRelativeResize="0"/>
                  </pic:nvPicPr>
                  <pic:blipFill>
                    <a:blip r:embed="rId11"/>
                    <a:srcRect b="0" l="0" r="0" t="0"/>
                    <a:stretch>
                      <a:fillRect/>
                    </a:stretch>
                  </pic:blipFill>
                  <pic:spPr>
                    <a:xfrm>
                      <a:off x="0" y="0"/>
                      <a:ext cx="5715000" cy="2802657"/>
                    </a:xfrm>
                    <a:prstGeom prst="rect"/>
                    <a:ln/>
                  </pic:spPr>
                </pic:pic>
              </a:graphicData>
            </a:graphic>
          </wp:inline>
        </w:drawing>
      </w:r>
      <w:r>
        <w:rPr>
          <w:rtl w:val="0"/>
        </w:rPr>
      </w:r>
    </w:p>
    <w:p w14:paraId="00000087">
      <w:pPr>
        <w:keepNext w:val="0"/>
        <w:pageBreakBefore w:val="0"/>
        <w:spacing w:after="180" w:before="0" w:line="240" w:lineRule="auto"/>
        <w:jc w:val="left"/>
        <w:rPr/>
      </w:pPr>
      <w:r>
        <w:rPr>
          <w:rFonts w:ascii="Arial" w:cs="Arial" w:eastAsia="Arial" w:hAnsi="Arial"/>
          <w:b w:val="0"/>
          <w:bCs w:val="0"/>
          <w:i w:val="1"/>
          <w:iCs w:val="1"/>
          <w:color w:val="666666"/>
          <w:sz w:val="16"/>
          <w:szCs w:val="16"/>
          <w:rtl w:val="0"/>
        </w:rPr>
        <w:t xml:space="preserve">Figure 4. Illustrative operating trajectory. Placeholder indices only; replace with sourced KPI history, definitions, actual-versus-forecast boundary, and as-of date.</w:t>
      </w:r>
      <w:r>
        <w:rPr>
          <w:rtl w:val="0"/>
        </w:rPr>
      </w:r>
    </w:p>
    <w:p w14:paraId="00000088">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Quality of traction</w:t>
      </w:r>
      <w:r>
        <w:rPr>
          <w:rtl w:val="0"/>
        </w:rPr>
      </w:r>
    </w:p>
    <w:p w14:paraId="00000089">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[Explain whether growth is broad-based, repeatable, and economically attractive. Address cohorts, retention, customer concentration, seasonality, and contracted versus recognized activity.]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8A">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Benchmarks and targets</w:t>
      </w:r>
      <w:r>
        <w:rPr>
          <w:rtl w:val="0"/>
        </w:rPr>
      </w:r>
    </w:p>
    <w:p w14:paraId="0000008B">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Current performance is [above / in line with / below] [target or benchmark] on [metric], based on [source and date]. Reaching the underwriting case requires [future metric and timing].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8C">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Underwriting implication and limitations</w:t>
      </w:r>
      <w:r>
        <w:rPr>
          <w:rtl w:val="0"/>
        </w:rPr>
      </w:r>
    </w:p>
    <w:p w14:paraId="0000008D">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[Explain what the operating evidence proves, what remains uncertain, and which KPI should trigger a reassessment of the investment case.]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8E">
      <w:pPr>
        <w:pStyle w:val="Heading1"/>
        <w:keepNext w:val="1"/>
        <w:pageBreakBefore w:val="0"/>
        <w:spacing w:after="200" w:before="320" w:line="240" w:lineRule="auto"/>
        <w:rPr/>
      </w:pPr>
      <w:r>
        <w:rPr>
          <w:rFonts w:ascii="Arial" w:cs="Arial" w:eastAsia="Arial" w:hAnsi="Arial"/>
          <w:b w:val="1"/>
          <w:bCs w:val="1"/>
          <w:i w:val="0"/>
          <w:iCs w:val="0"/>
          <w:color w:val="111111"/>
          <w:sz w:val="22"/>
          <w:szCs w:val="22"/>
          <w:rtl w:val="0"/>
        </w:rPr>
        <w:t xml:space="preserve">9.   Business Model and Unit Economics</w:t>
      </w:r>
      <w:r>
        <w:rPr>
          <w:rtl w:val="0"/>
        </w:rPr>
      </w:r>
    </w:p>
    <w:p w14:paraId="0000008F">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Revenue model and pricing</w:t>
      </w:r>
      <w:r>
        <w:rPr>
          <w:rtl w:val="0"/>
        </w:rPr>
      </w:r>
    </w:p>
    <w:p w14:paraId="00000090">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[Explain who pays, what they pay for, how pricing is set, when revenue is recognized, and what changes revenue per customer, transaction, or unit.]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91">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Unit economics</w:t>
      </w:r>
      <w:r>
        <w:rPr>
          <w:rtl w:val="0"/>
        </w:rPr>
      </w:r>
    </w:p>
    <w:p w14:paraId="00000092">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At the current scale, [relevant unit] generates [revenue or gross value] and [gross or contribution profit], with [acquisition cost], [customer or unit value], and [payback period]. State definitions, source, cohort or period, and as-of date.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93">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Retention and durability</w:t>
      </w:r>
      <w:r>
        <w:rPr>
          <w:rtl w:val="0"/>
        </w:rPr>
      </w:r>
    </w:p>
    <w:p w14:paraId="00000094">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[Explain retention, repeat use, utilization, renewal, churn, or another durability measure and how it affects lifetime economics.]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95">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Scaling and mature-state assumptions</w:t>
      </w:r>
      <w:r>
        <w:rPr>
          <w:rtl w:val="0"/>
        </w:rPr>
      </w:r>
    </w:p>
    <w:p w14:paraId="00000096">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The case assumes [pricing, margin, acquisition efficiency, retention, utilization, or capacity] reaches [target or range] by [period]. The principal constraint is [constraint], supported by [evidence and source].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97">
      <w:pPr>
        <w:pStyle w:val="Heading1"/>
        <w:keepNext w:val="1"/>
        <w:pageBreakBefore w:val="1"/>
        <w:spacing w:after="200" w:before="320" w:line="240" w:lineRule="auto"/>
        <w:rPr/>
      </w:pPr>
      <w:r>
        <w:rPr>
          <w:rFonts w:ascii="Arial" w:cs="Arial" w:eastAsia="Arial" w:hAnsi="Arial"/>
          <w:b w:val="1"/>
          <w:bCs w:val="1"/>
          <w:i w:val="0"/>
          <w:iCs w:val="0"/>
          <w:color w:val="111111"/>
          <w:sz w:val="22"/>
          <w:szCs w:val="22"/>
          <w:rtl w:val="0"/>
        </w:rPr>
        <w:t xml:space="preserve">10.   Historical Financials and Outlook</w:t>
      </w:r>
      <w:r>
        <w:rPr>
          <w:rtl w:val="0"/>
        </w:rPr>
      </w:r>
    </w:p>
    <w:p w14:paraId="00000098">
      <w:pPr>
        <w:keepNext w:val="0"/>
        <w:pageBreakBefore w:val="0"/>
        <w:pBdr>
          <w:left w:color="111111" w:space="5" w:sz="16" w:val="single"/>
        </w:pBdr>
        <w:shd w:fill="f7f7f7" w:val="clear"/>
        <w:spacing w:after="180" w:before="60" w:line="240" w:lineRule="auto"/>
        <w:ind w:left="140" w:right="140" w:firstLine="0"/>
        <w:rPr/>
      </w:pPr>
      <w:r>
        <w:rPr>
          <w:rFonts w:ascii="Arial" w:cs="Arial" w:eastAsia="Arial" w:hAnsi="Arial"/>
          <w:b w:val="1"/>
          <w:bCs w:val="1"/>
          <w:i w:val="0"/>
          <w:iCs w:val="0"/>
          <w:color w:val="111111"/>
          <w:sz w:val="17"/>
          <w:szCs w:val="17"/>
          <w:rtl w:val="0"/>
        </w:rPr>
        <w:t xml:space="preserve">Summary only:  </w:t>
      </w:r>
      <w:r>
        <w:rPr>
          <w:rFonts w:ascii="Arial" w:cs="Arial" w:eastAsia="Arial" w:hAnsi="Arial"/>
          <w:b w:val="0"/>
          <w:bCs w:val="0"/>
          <w:i w:val="0"/>
          <w:iCs w:val="0"/>
          <w:color w:val="111111"/>
          <w:sz w:val="17"/>
          <w:szCs w:val="17"/>
          <w:rtl w:val="0"/>
        </w:rPr>
        <w:t xml:space="preserve">Keep detailed calculations in the linked external model. Label actual periods 'A' and forecast periods 'E'.</w:t>
      </w:r>
      <w:r>
        <w:rPr>
          <w:rtl w:val="0"/>
        </w:rPr>
      </w:r>
    </w:p>
    <w:p w14:paraId="00000099">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Historical performance</w:t>
      </w:r>
      <w:r>
        <w:rPr>
          <w:rtl w:val="0"/>
        </w:rPr>
      </w:r>
    </w:p>
    <w:p w14:paraId="0000009A">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From [first actual period] through [current actual period], revenue changed from [value] to [value], driven by [factors]. Over the same period, [margin] changed from [value] to [value], while [profitability or cash measure] changed from [value] to [value].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9B">
      <w:pPr>
        <w:keepNext w:val="1"/>
        <w:pageBreakBefore w:val="0"/>
        <w:spacing w:after="60" w:before="60" w:line="240" w:lineRule="auto"/>
        <w:jc w:val="center"/>
        <w:rPr/>
      </w:pPr>
      <w:r>
        <w:rPr/>
        <w:drawing>
          <wp:inline distB="0" distT="0" distL="114300" distR="114300">
            <wp:extent cx="5715000" cy="2532784"/>
            <wp:effectExtent b="0" l="0" r="0" t="0"/>
            <wp:docPr descr="Illustrative chart with revenue bars and a profitability or cash line across historical, current, and forecast periods. All values are placeholder indices." id="5" name="image2.png"/>
            <a:graphic>
              <a:graphicData uri="http://schemas.openxmlformats.org/drawingml/2006/picture">
                <pic:pic>
                  <pic:nvPicPr>
                    <pic:cNvPr descr="Illustrative chart with revenue bars and a profitability or cash line across historical, current, and forecast periods. All values are placeholder indices." id="0" name="image2.png"/>
                    <pic:cNvPicPr preferRelativeResize="0"/>
                  </pic:nvPicPr>
                  <pic:blipFill>
                    <a:blip r:embed="rId12"/>
                    <a:srcRect b="0" l="0" r="0" t="0"/>
                    <a:stretch>
                      <a:fillRect/>
                    </a:stretch>
                  </pic:blipFill>
                  <pic:spPr>
                    <a:xfrm>
                      <a:off x="0" y="0"/>
                      <a:ext cx="5715000" cy="2532784"/>
                    </a:xfrm>
                    <a:prstGeom prst="rect"/>
                    <a:ln/>
                  </pic:spPr>
                </pic:pic>
              </a:graphicData>
            </a:graphic>
          </wp:inline>
        </w:drawing>
      </w:r>
      <w:r>
        <w:rPr>
          <w:rtl w:val="0"/>
        </w:rPr>
      </w:r>
    </w:p>
    <w:p w14:paraId="0000009C">
      <w:pPr>
        <w:keepNext w:val="0"/>
        <w:pageBreakBefore w:val="0"/>
        <w:spacing w:after="180" w:before="0" w:line="240" w:lineRule="auto"/>
        <w:jc w:val="left"/>
        <w:rPr/>
      </w:pPr>
      <w:r>
        <w:rPr>
          <w:rFonts w:ascii="Arial" w:cs="Arial" w:eastAsia="Arial" w:hAnsi="Arial"/>
          <w:b w:val="0"/>
          <w:bCs w:val="0"/>
          <w:i w:val="1"/>
          <w:iCs w:val="1"/>
          <w:color w:val="666666"/>
          <w:sz w:val="16"/>
          <w:szCs w:val="16"/>
          <w:rtl w:val="0"/>
        </w:rPr>
        <w:t xml:space="preserve">Figure 5. Illustrative historical and forecast outlook. Placeholder indices only; replace with linked-model outputs, currency and scale, version, owner, and as-of date.</w:t>
      </w:r>
      <w:r>
        <w:rPr>
          <w:rtl w:val="0"/>
        </w:rPr>
      </w:r>
    </w:p>
    <w:p w14:paraId="0000009D">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Forecast and key drivers</w:t>
      </w:r>
      <w:r>
        <w:rPr>
          <w:rtl w:val="0"/>
        </w:rPr>
      </w:r>
    </w:p>
    <w:p w14:paraId="0000009E">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From [first forecast period] through [last forecast period], the model assumes revenue reaches [value] and [profitability or cash measure] reaches [value]. The forecast is driven by [volume, pricing, retention, margin, hiring, capacity, or other drivers].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9F">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Liquidity and capital needs</w:t>
      </w:r>
      <w:r>
        <w:rPr>
          <w:rtl w:val="0"/>
        </w:rPr>
      </w:r>
    </w:p>
    <w:p w14:paraId="000000A0">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As of [date], the company has [cash / liquidity] and [debt or obligations]. Under the [selected] case, the business reaches [cash-flow milestone or next funding need] in [period], including [current commitment, amount requested now, and conditional future capital treatment].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A1">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Model tie-out</w:t>
      </w:r>
      <w:r>
        <w:rPr>
          <w:rtl w:val="0"/>
        </w:rPr>
      </w:r>
    </w:p>
    <w:p w14:paraId="000000A2">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Detailed calculations remain in [linked external model], owned by [owner], version [version], as of [date], in [currency and scale].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A3">
      <w:pPr>
        <w:pStyle w:val="Heading1"/>
        <w:keepNext w:val="1"/>
        <w:pageBreakBefore w:val="1"/>
        <w:spacing w:after="200" w:before="320" w:line="240" w:lineRule="auto"/>
        <w:rPr/>
      </w:pPr>
      <w:r>
        <w:rPr>
          <w:rFonts w:ascii="Arial" w:cs="Arial" w:eastAsia="Arial" w:hAnsi="Arial"/>
          <w:b w:val="1"/>
          <w:bCs w:val="1"/>
          <w:i w:val="0"/>
          <w:iCs w:val="0"/>
          <w:color w:val="111111"/>
          <w:sz w:val="22"/>
          <w:szCs w:val="22"/>
          <w:rtl w:val="0"/>
        </w:rPr>
        <w:t xml:space="preserve">11.   Valuation and Return Scenarios</w:t>
      </w:r>
      <w:r>
        <w:rPr>
          <w:rtl w:val="0"/>
        </w:rPr>
      </w:r>
    </w:p>
    <w:p w14:paraId="000000A4">
      <w:pPr>
        <w:keepNext w:val="0"/>
        <w:pageBreakBefore w:val="0"/>
        <w:pBdr>
          <w:left w:color="111111" w:space="5" w:sz="16" w:val="single"/>
        </w:pBdr>
        <w:shd w:fill="f7f7f7" w:val="clear"/>
        <w:spacing w:after="180" w:before="60" w:line="240" w:lineRule="auto"/>
        <w:ind w:left="140" w:right="140" w:firstLine="0"/>
        <w:rPr/>
      </w:pPr>
      <w:r>
        <w:rPr>
          <w:rFonts w:ascii="Arial" w:cs="Arial" w:eastAsia="Arial" w:hAnsi="Arial"/>
          <w:b w:val="1"/>
          <w:bCs w:val="1"/>
          <w:i w:val="0"/>
          <w:iCs w:val="0"/>
          <w:color w:val="111111"/>
          <w:sz w:val="17"/>
          <w:szCs w:val="17"/>
          <w:rtl w:val="0"/>
        </w:rPr>
        <w:t xml:space="preserve">Decision role:  </w:t>
      </w:r>
      <w:r>
        <w:rPr>
          <w:rFonts w:ascii="Arial" w:cs="Arial" w:eastAsia="Arial" w:hAnsi="Arial"/>
          <w:b w:val="0"/>
          <w:bCs w:val="0"/>
          <w:i w:val="0"/>
          <w:iCs w:val="0"/>
          <w:color w:val="111111"/>
          <w:sz w:val="17"/>
          <w:szCs w:val="17"/>
          <w:rtl w:val="0"/>
        </w:rPr>
        <w:t xml:space="preserve">Valuation is supporting evidence for the decision, not the organizing thesis. Use this section to test whether the underwriting case and proposed terms produce acceptable risk-adjusted returns. Keep detailed calculations in the linked external model.</w:t>
      </w:r>
      <w:r>
        <w:rPr>
          <w:rtl w:val="0"/>
        </w:rPr>
      </w:r>
    </w:p>
    <w:p w14:paraId="000000A5">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Model reference and return definition</w:t>
      </w:r>
      <w:r>
        <w:rPr>
          <w:rtl w:val="0"/>
        </w:rPr>
      </w:r>
    </w:p>
    <w:p w14:paraId="000000A6">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The analysis is based on [linked model], owned by [owner], version [version], as of [date], in [currency and scale]. Returns are presented on a [gross / net], [levered / unlevered], [pre-tax / post-tax] basis over [hold period or timing convention].</w:t>
      </w:r>
      <w:r>
        <w:rPr>
          <w:rtl w:val="0"/>
        </w:rPr>
      </w:r>
    </w:p>
    <w:p w14:paraId="000000A7">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Key valuation and return assumptions</w:t>
      </w:r>
      <w:r>
        <w:rPr>
          <w:rtl w:val="0"/>
        </w:rPr>
      </w:r>
    </w:p>
    <w:p w14:paraId="000000A8">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The analysis assumes an entry price or valuation of [value], operating performance of [summary], an exit or terminal assumption of [value], and [dilution, follow-on funding, debt, cash, or other assumptions]. Cite sources and identify the input to which returns are most sensitive.</w:t>
      </w:r>
      <w:r>
        <w:rPr>
          <w:rtl w:val="0"/>
        </w:rPr>
      </w:r>
    </w:p>
    <w:p w14:paraId="000000A9">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Downside case</w:t>
      </w:r>
      <w:r>
        <w:rPr>
          <w:rtl w:val="0"/>
        </w:rPr>
      </w:r>
    </w:p>
    <w:p w14:paraId="000000AA">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The downside case assumes [operating and valuation conditions]. It includes [current commitment], [amount requested now], and [state whether conditional future capital is included; if included, give amount and timing]. Total capital included is [value]. Resulting [proceeds], [MOIC], and [IRR] are [values]; the principal failure driver is [driver].</w:t>
      </w:r>
      <w:r>
        <w:rPr>
          <w:rtl w:val="0"/>
        </w:rPr>
      </w:r>
    </w:p>
    <w:p w14:paraId="000000AB">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Base case</w:t>
      </w:r>
      <w:r>
        <w:rPr>
          <w:rtl w:val="0"/>
        </w:rPr>
      </w:r>
    </w:p>
    <w:p w14:paraId="000000AC">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The base case assumes [operating and valuation conditions]. It includes [current commitment], [amount requested now], and [state whether conditional future capital is included; if included, give amount and timing]. Total capital included is [value]. Resulting [proceeds], [MOIC], and [IRR] are [values]; the principal outcome driver is [driver].</w:t>
      </w:r>
      <w:r>
        <w:rPr>
          <w:rtl w:val="0"/>
        </w:rPr>
      </w:r>
    </w:p>
    <w:p w14:paraId="000000AD">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Upside case</w:t>
      </w:r>
      <w:r>
        <w:rPr>
          <w:rtl w:val="0"/>
        </w:rPr>
      </w:r>
    </w:p>
    <w:p w14:paraId="000000AE">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The upside case assumes [operating and valuation conditions]. It includes [current commitment], [amount requested now], and [state whether conditional future capital is included; if included, give amount and timing]. Total capital included is [value]. Resulting [proceeds], [MOIC], and [IRR] are [values]; the principal outcome driver is [driver].</w:t>
      </w:r>
      <w:r>
        <w:rPr>
          <w:rtl w:val="0"/>
        </w:rPr>
      </w:r>
    </w:p>
    <w:p w14:paraId="000000AF">
      <w:pPr>
        <w:keepNext w:val="0"/>
        <w:pageBreakBefore w:val="0"/>
        <w:pBdr>
          <w:left w:color="111111" w:space="5" w:sz="16" w:val="single"/>
        </w:pBdr>
        <w:shd w:fill="f7f7f7" w:val="clear"/>
        <w:spacing w:after="180" w:before="60" w:line="240" w:lineRule="auto"/>
        <w:ind w:left="140" w:right="140" w:firstLine="0"/>
        <w:rPr/>
      </w:pPr>
      <w:r>
        <w:rPr>
          <w:rFonts w:ascii="Arial" w:cs="Arial" w:eastAsia="Arial" w:hAnsi="Arial"/>
          <w:b w:val="1"/>
          <w:bCs w:val="1"/>
          <w:i w:val="0"/>
          <w:iCs w:val="0"/>
          <w:color w:val="111111"/>
          <w:sz w:val="17"/>
          <w:szCs w:val="17"/>
          <w:rtl w:val="0"/>
        </w:rPr>
        <w:t xml:space="preserve">Required reconciliation:  </w:t>
      </w:r>
      <w:r>
        <w:rPr>
          <w:rFonts w:ascii="Arial" w:cs="Arial" w:eastAsia="Arial" w:hAnsi="Arial"/>
          <w:b w:val="0"/>
          <w:bCs w:val="0"/>
          <w:i w:val="0"/>
          <w:iCs w:val="0"/>
          <w:color w:val="111111"/>
          <w:sz w:val="17"/>
          <w:szCs w:val="17"/>
          <w:rtl w:val="0"/>
        </w:rPr>
        <w:t xml:space="preserve">Reconcile the capital included in each scenario to Current Commitment, Amount Requested Now, Conditional Future Capital, and Total Potential Exposure. Explain any excluded capital rather than leaving it implicit.</w:t>
      </w:r>
      <w:r>
        <w:rPr>
          <w:rtl w:val="0"/>
        </w:rPr>
      </w:r>
    </w:p>
    <w:p w14:paraId="000000B0">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3 x 3 sensitivity</w:t>
      </w:r>
      <w:r>
        <w:rPr>
          <w:rtl w:val="0"/>
        </w:rPr>
      </w:r>
    </w:p>
    <w:p w14:paraId="000000B1">
      <w:pPr>
        <w:keepNext w:val="0"/>
        <w:pageBreakBefore w:val="0"/>
        <w:spacing w:after="160" w:before="60" w:line="240" w:lineRule="auto"/>
        <w:rPr/>
      </w:pPr>
      <w:r>
        <w:rPr>
          <w:rFonts w:ascii="Arial" w:cs="Arial" w:eastAsia="Arial" w:hAnsi="Arial"/>
          <w:b w:val="1"/>
          <w:bCs w:val="1"/>
          <w:i w:val="0"/>
          <w:iCs w:val="0"/>
          <w:color w:val="111111"/>
          <w:sz w:val="18"/>
          <w:szCs w:val="18"/>
          <w:rtl w:val="0"/>
        </w:rPr>
        <w:t xml:space="preserve">Return metric:  </w:t>
      </w:r>
      <w:r>
        <w:rPr>
          <w:rFonts w:ascii="Arial" w:cs="Arial" w:eastAsia="Arial" w:hAnsi="Arial"/>
          <w:b w:val="0"/>
          <w:bCs w:val="0"/>
          <w:i w:val="0"/>
          <w:iCs w:val="0"/>
          <w:color w:val="111111"/>
          <w:sz w:val="18"/>
          <w:szCs w:val="18"/>
          <w:rtl w:val="0"/>
        </w:rPr>
        <w:t xml:space="preserve">[MOIC / IRR / other]   Row variable: [Operating assumption]   Column variable: [Exit / terminal assumption]</w:t>
      </w:r>
      <w:r>
        <w:rPr>
          <w:rtl w:val="0"/>
        </w:rPr>
      </w:r>
    </w:p>
    <w:tbl>
      <w:tblPr>
        <w:tblStyle w:val="Table4"/>
        <w:tblW w:w="9345.0" w:type="dxa"/>
        <w:jc w:val="left"/>
        <w:tblLayout w:type="fixed"/>
        <w:tblLook w:val="0400"/>
      </w:tblPr>
      <w:tblGrid>
        <w:gridCol w:w="2350"/>
        <w:gridCol w:w="2330"/>
        <w:gridCol w:w="2330"/>
        <w:gridCol w:w="2335"/>
        <w:tblGridChange w:id="0">
          <w:tblGrid>
            <w:gridCol w:w="2350"/>
            <w:gridCol w:w="2330"/>
            <w:gridCol w:w="2330"/>
            <w:gridCol w:w="2335"/>
          </w:tblGrid>
        </w:tblGridChange>
      </w:tblGrid>
      <w:tr>
        <w:trPr>
          <w:cantSplit w:val="0"/>
          <w:trHeight w:val="480" w:hRule="atLeast"/>
          <w:tblHeader w:val="1"/>
        </w:trPr>
        <w:tc>
          <w:tcPr>
            <w:tcBorders>
              <w:top w:color="e6e6e6" w:space="0" w:sz="4" w:val="single"/>
              <w:bottom w:color="e6e6e6" w:space="0" w:sz="4" w:val="single"/>
            </w:tcBorders>
            <w:shd w:fill="111111" w:val="clear"/>
            <w:tcMar>
              <w:top w:w="120.0" w:type="dxa"/>
              <w:bottom w:w="120.0" w:type="dxa"/>
            </w:tcMar>
            <w:vAlign w:val="center"/>
          </w:tcPr>
          <w:p w14:paraId="000000B2">
            <w:pPr>
              <w:keepNext w:val="0"/>
              <w:spacing w:after="0" w:before="0" w:line="240" w:lineRule="auto"/>
              <w:jc w:val="center"/>
              <w:rPr/>
            </w:pPr>
            <w:r>
              <w:rPr>
                <w:rtl w:val="0"/>
              </w:rPr>
            </w:r>
          </w:p>
        </w:tc>
        <w:tc>
          <w:tcPr>
            <w:tcBorders>
              <w:top w:color="e6e6e6" w:space="0" w:sz="4" w:val="single"/>
              <w:bottom w:color="e6e6e6" w:space="0" w:sz="4" w:val="single"/>
            </w:tcBorders>
            <w:shd w:fill="111111" w:val="clear"/>
            <w:tcMar>
              <w:top w:w="120.0" w:type="dxa"/>
              <w:bottom w:w="120.0" w:type="dxa"/>
            </w:tcMar>
            <w:vAlign w:val="center"/>
          </w:tcPr>
          <w:p w14:paraId="000000B3">
            <w:pPr>
              <w:keepNext w:val="0"/>
              <w:spacing w:after="0" w:before="0" w:line="240" w:lineRule="auto"/>
              <w:jc w:val="center"/>
              <w:rPr/>
            </w:pPr>
            <w:r>
              <w:rPr>
                <w:rFonts w:ascii="Arial" w:cs="Arial" w:eastAsia="Arial" w:hAnsi="Arial"/>
                <w:b w:val="1"/>
                <w:bCs w:val="1"/>
                <w:i w:val="0"/>
                <w:iCs w:val="0"/>
                <w:color w:val="ffffff"/>
                <w:sz w:val="16"/>
                <w:szCs w:val="16"/>
                <w:rtl w:val="0"/>
              </w:rPr>
              <w:t xml:space="preserve">Low [value]</w:t>
            </w:r>
            <w:r>
              <w:rPr>
                <w:rtl w:val="0"/>
              </w:rPr>
            </w:r>
          </w:p>
        </w:tc>
        <w:tc>
          <w:tcPr>
            <w:tcBorders>
              <w:top w:color="e6e6e6" w:space="0" w:sz="4" w:val="single"/>
              <w:bottom w:color="e6e6e6" w:space="0" w:sz="4" w:val="single"/>
            </w:tcBorders>
            <w:shd w:fill="111111" w:val="clear"/>
            <w:tcMar>
              <w:top w:w="120.0" w:type="dxa"/>
              <w:bottom w:w="120.0" w:type="dxa"/>
            </w:tcMar>
            <w:vAlign w:val="center"/>
          </w:tcPr>
          <w:p w14:paraId="000000B4">
            <w:pPr>
              <w:keepNext w:val="0"/>
              <w:spacing w:after="0" w:before="0" w:line="240" w:lineRule="auto"/>
              <w:jc w:val="center"/>
              <w:rPr/>
            </w:pPr>
            <w:r>
              <w:rPr>
                <w:rFonts w:ascii="Arial" w:cs="Arial" w:eastAsia="Arial" w:hAnsi="Arial"/>
                <w:b w:val="1"/>
                <w:bCs w:val="1"/>
                <w:i w:val="0"/>
                <w:iCs w:val="0"/>
                <w:color w:val="ffffff"/>
                <w:sz w:val="16"/>
                <w:szCs w:val="16"/>
                <w:rtl w:val="0"/>
              </w:rPr>
              <w:t xml:space="preserve">Base [value]</w:t>
            </w:r>
            <w:r>
              <w:rPr>
                <w:rtl w:val="0"/>
              </w:rPr>
            </w:r>
          </w:p>
        </w:tc>
        <w:tc>
          <w:tcPr>
            <w:tcBorders>
              <w:top w:color="e6e6e6" w:space="0" w:sz="4" w:val="single"/>
              <w:bottom w:color="e6e6e6" w:space="0" w:sz="4" w:val="single"/>
            </w:tcBorders>
            <w:shd w:fill="111111" w:val="clear"/>
            <w:tcMar>
              <w:top w:w="120.0" w:type="dxa"/>
              <w:bottom w:w="120.0" w:type="dxa"/>
            </w:tcMar>
            <w:vAlign w:val="center"/>
          </w:tcPr>
          <w:p w14:paraId="000000B5">
            <w:pPr>
              <w:keepNext w:val="0"/>
              <w:spacing w:after="0" w:before="0" w:line="240" w:lineRule="auto"/>
              <w:jc w:val="center"/>
              <w:rPr/>
            </w:pPr>
            <w:r>
              <w:rPr>
                <w:rFonts w:ascii="Arial" w:cs="Arial" w:eastAsia="Arial" w:hAnsi="Arial"/>
                <w:b w:val="1"/>
                <w:bCs w:val="1"/>
                <w:i w:val="0"/>
                <w:iCs w:val="0"/>
                <w:color w:val="ffffff"/>
                <w:sz w:val="16"/>
                <w:szCs w:val="16"/>
                <w:rtl w:val="0"/>
              </w:rPr>
              <w:t xml:space="preserve">High [value]</w:t>
            </w:r>
            <w:r>
              <w:rPr>
                <w:rtl w:val="0"/>
              </w:rPr>
            </w:r>
          </w:p>
        </w:tc>
      </w:tr>
      <w:tr>
        <w:trPr>
          <w:cantSplit w:val="1"/>
          <w:trHeight w:val="440" w:hRule="atLeast"/>
          <w:tblHeader w:val="0"/>
        </w:trPr>
        <w:tc>
          <w:tcPr>
            <w:tcBorders>
              <w:top w:color="e6e6e6" w:space="0" w:sz="4" w:val="single"/>
              <w:bottom w:color="e6e6e6" w:space="0" w:sz="4" w:val="single"/>
            </w:tcBorders>
            <w:shd w:fill="f7f7f7" w:val="clear"/>
            <w:tcMar>
              <w:top w:w="100.0" w:type="dxa"/>
              <w:bottom w:w="100.0" w:type="dxa"/>
            </w:tcMar>
            <w:vAlign w:val="center"/>
          </w:tcPr>
          <w:p w14:paraId="000000B6">
            <w:pPr>
              <w:keepNext w:val="0"/>
              <w:spacing w:after="0" w:before="0" w:line="240" w:lineRule="auto"/>
              <w:jc w:val="left"/>
              <w:rPr/>
            </w:pPr>
            <w:r>
              <w:rPr>
                <w:rFonts w:ascii="Arial" w:cs="Arial" w:eastAsia="Arial" w:hAnsi="Arial"/>
                <w:b w:val="0"/>
                <w:bCs w:val="0"/>
                <w:i w:val="0"/>
                <w:iCs w:val="0"/>
                <w:color w:val="111111"/>
                <w:sz w:val="16"/>
                <w:szCs w:val="16"/>
                <w:rtl w:val="0"/>
              </w:rPr>
              <w:t xml:space="preserve">Low [value]</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B7">
            <w:pPr>
              <w:keepNext w:val="0"/>
              <w:spacing w:after="0" w:before="0" w:line="240" w:lineRule="auto"/>
              <w:jc w:val="center"/>
              <w:rPr/>
            </w:pPr>
            <w:r>
              <w:rPr>
                <w:rFonts w:ascii="Arial" w:cs="Arial" w:eastAsia="Arial" w:hAnsi="Arial"/>
                <w:b w:val="0"/>
                <w:bCs w:val="0"/>
                <w:i w:val="0"/>
                <w:iCs w:val="0"/>
                <w:color w:val="111111"/>
                <w:sz w:val="16"/>
                <w:szCs w:val="16"/>
                <w:rtl w:val="0"/>
              </w:rPr>
              <w:t xml:space="preserve">[Return]</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B8">
            <w:pPr>
              <w:keepNext w:val="0"/>
              <w:spacing w:after="0" w:before="0" w:line="240" w:lineRule="auto"/>
              <w:jc w:val="center"/>
              <w:rPr/>
            </w:pPr>
            <w:r>
              <w:rPr>
                <w:rFonts w:ascii="Arial" w:cs="Arial" w:eastAsia="Arial" w:hAnsi="Arial"/>
                <w:b w:val="0"/>
                <w:bCs w:val="0"/>
                <w:i w:val="0"/>
                <w:iCs w:val="0"/>
                <w:color w:val="111111"/>
                <w:sz w:val="16"/>
                <w:szCs w:val="16"/>
                <w:rtl w:val="0"/>
              </w:rPr>
              <w:t xml:space="preserve">[Return]</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B9">
            <w:pPr>
              <w:keepNext w:val="0"/>
              <w:spacing w:after="0" w:before="0" w:line="240" w:lineRule="auto"/>
              <w:jc w:val="center"/>
              <w:rPr/>
            </w:pPr>
            <w:r>
              <w:rPr>
                <w:rFonts w:ascii="Arial" w:cs="Arial" w:eastAsia="Arial" w:hAnsi="Arial"/>
                <w:b w:val="0"/>
                <w:bCs w:val="0"/>
                <w:i w:val="0"/>
                <w:iCs w:val="0"/>
                <w:color w:val="111111"/>
                <w:sz w:val="16"/>
                <w:szCs w:val="16"/>
                <w:rtl w:val="0"/>
              </w:rPr>
              <w:t xml:space="preserve">[Return]</w:t>
            </w:r>
            <w:r>
              <w:rPr>
                <w:rtl w:val="0"/>
              </w:rPr>
            </w:r>
          </w:p>
        </w:tc>
      </w:tr>
      <w:tr>
        <w:trPr>
          <w:cantSplit w:val="1"/>
          <w:trHeight w:val="440" w:hRule="atLeast"/>
          <w:tblHeader w:val="0"/>
        </w:trPr>
        <w:tc>
          <w:tcPr>
            <w:tcBorders>
              <w:top w:color="e6e6e6" w:space="0" w:sz="4" w:val="single"/>
              <w:bottom w:color="e6e6e6" w:space="0" w:sz="4" w:val="single"/>
            </w:tcBorders>
            <w:shd w:fill="ffffff" w:val="clear"/>
            <w:tcMar>
              <w:top w:w="100.0" w:type="dxa"/>
              <w:bottom w:w="100.0" w:type="dxa"/>
            </w:tcMar>
            <w:vAlign w:val="center"/>
          </w:tcPr>
          <w:p w14:paraId="000000BA">
            <w:pPr>
              <w:keepNext w:val="0"/>
              <w:spacing w:after="0" w:before="0" w:line="240" w:lineRule="auto"/>
              <w:jc w:val="left"/>
              <w:rPr/>
            </w:pPr>
            <w:r>
              <w:rPr>
                <w:rFonts w:ascii="Arial" w:cs="Arial" w:eastAsia="Arial" w:hAnsi="Arial"/>
                <w:b w:val="0"/>
                <w:bCs w:val="0"/>
                <w:i w:val="0"/>
                <w:iCs w:val="0"/>
                <w:color w:val="111111"/>
                <w:sz w:val="16"/>
                <w:szCs w:val="16"/>
                <w:rtl w:val="0"/>
              </w:rPr>
              <w:t xml:space="preserve">Base [value]</w:t>
            </w:r>
            <w:r>
              <w:rPr>
                <w:rtl w:val="0"/>
              </w:rPr>
            </w:r>
          </w:p>
        </w:tc>
        <w:tc>
          <w:tcPr>
            <w:tcBorders>
              <w:top w:color="e6e6e6" w:space="0" w:sz="4" w:val="single"/>
              <w:bottom w:color="e6e6e6" w:space="0" w:sz="4" w:val="single"/>
            </w:tcBorders>
            <w:shd w:fill="ffffff" w:val="clear"/>
            <w:tcMar>
              <w:top w:w="100.0" w:type="dxa"/>
              <w:bottom w:w="100.0" w:type="dxa"/>
            </w:tcMar>
            <w:vAlign w:val="center"/>
          </w:tcPr>
          <w:p w14:paraId="000000BB">
            <w:pPr>
              <w:keepNext w:val="0"/>
              <w:spacing w:after="0" w:before="0" w:line="240" w:lineRule="auto"/>
              <w:jc w:val="center"/>
              <w:rPr/>
            </w:pPr>
            <w:r>
              <w:rPr>
                <w:rFonts w:ascii="Arial" w:cs="Arial" w:eastAsia="Arial" w:hAnsi="Arial"/>
                <w:b w:val="0"/>
                <w:bCs w:val="0"/>
                <w:i w:val="0"/>
                <w:iCs w:val="0"/>
                <w:color w:val="111111"/>
                <w:sz w:val="16"/>
                <w:szCs w:val="16"/>
                <w:rtl w:val="0"/>
              </w:rPr>
              <w:t xml:space="preserve">[Return]</w:t>
            </w:r>
            <w:r>
              <w:rPr>
                <w:rtl w:val="0"/>
              </w:rPr>
            </w:r>
          </w:p>
        </w:tc>
        <w:tc>
          <w:tcPr>
            <w:tcBorders>
              <w:top w:color="e6e6e6" w:space="0" w:sz="4" w:val="single"/>
              <w:bottom w:color="e6e6e6" w:space="0" w:sz="4" w:val="single"/>
            </w:tcBorders>
            <w:shd w:fill="ffffff" w:val="clear"/>
            <w:tcMar>
              <w:top w:w="100.0" w:type="dxa"/>
              <w:bottom w:w="100.0" w:type="dxa"/>
            </w:tcMar>
            <w:vAlign w:val="center"/>
          </w:tcPr>
          <w:p w14:paraId="000000BC">
            <w:pPr>
              <w:keepNext w:val="0"/>
              <w:spacing w:after="0" w:before="0" w:line="240" w:lineRule="auto"/>
              <w:jc w:val="center"/>
              <w:rPr/>
            </w:pPr>
            <w:r>
              <w:rPr>
                <w:rFonts w:ascii="Arial" w:cs="Arial" w:eastAsia="Arial" w:hAnsi="Arial"/>
                <w:b w:val="0"/>
                <w:bCs w:val="0"/>
                <w:i w:val="0"/>
                <w:iCs w:val="0"/>
                <w:color w:val="111111"/>
                <w:sz w:val="16"/>
                <w:szCs w:val="16"/>
                <w:rtl w:val="0"/>
              </w:rPr>
              <w:t xml:space="preserve">[Return - base case]</w:t>
            </w:r>
            <w:r>
              <w:rPr>
                <w:rtl w:val="0"/>
              </w:rPr>
            </w:r>
          </w:p>
        </w:tc>
        <w:tc>
          <w:tcPr>
            <w:tcBorders>
              <w:top w:color="e6e6e6" w:space="0" w:sz="4" w:val="single"/>
              <w:bottom w:color="e6e6e6" w:space="0" w:sz="4" w:val="single"/>
            </w:tcBorders>
            <w:shd w:fill="ffffff" w:val="clear"/>
            <w:tcMar>
              <w:top w:w="100.0" w:type="dxa"/>
              <w:bottom w:w="100.0" w:type="dxa"/>
            </w:tcMar>
            <w:vAlign w:val="center"/>
          </w:tcPr>
          <w:p w14:paraId="000000BD">
            <w:pPr>
              <w:keepNext w:val="0"/>
              <w:spacing w:after="0" w:before="0" w:line="240" w:lineRule="auto"/>
              <w:jc w:val="center"/>
              <w:rPr/>
            </w:pPr>
            <w:r>
              <w:rPr>
                <w:rFonts w:ascii="Arial" w:cs="Arial" w:eastAsia="Arial" w:hAnsi="Arial"/>
                <w:b w:val="0"/>
                <w:bCs w:val="0"/>
                <w:i w:val="0"/>
                <w:iCs w:val="0"/>
                <w:color w:val="111111"/>
                <w:sz w:val="16"/>
                <w:szCs w:val="16"/>
                <w:rtl w:val="0"/>
              </w:rPr>
              <w:t xml:space="preserve">[Return]</w:t>
            </w:r>
            <w:r>
              <w:rPr>
                <w:rtl w:val="0"/>
              </w:rPr>
            </w:r>
          </w:p>
        </w:tc>
      </w:tr>
      <w:tr>
        <w:trPr>
          <w:cantSplit w:val="1"/>
          <w:trHeight w:val="440" w:hRule="atLeast"/>
          <w:tblHeader w:val="0"/>
        </w:trPr>
        <w:tc>
          <w:tcPr>
            <w:tcBorders>
              <w:top w:color="e6e6e6" w:space="0" w:sz="4" w:val="single"/>
              <w:bottom w:color="e6e6e6" w:space="0" w:sz="4" w:val="single"/>
            </w:tcBorders>
            <w:shd w:fill="f7f7f7" w:val="clear"/>
            <w:tcMar>
              <w:top w:w="100.0" w:type="dxa"/>
              <w:bottom w:w="100.0" w:type="dxa"/>
            </w:tcMar>
            <w:vAlign w:val="center"/>
          </w:tcPr>
          <w:p w14:paraId="000000BE">
            <w:pPr>
              <w:keepNext w:val="0"/>
              <w:spacing w:after="0" w:before="0" w:line="240" w:lineRule="auto"/>
              <w:jc w:val="left"/>
              <w:rPr/>
            </w:pPr>
            <w:r>
              <w:rPr>
                <w:rFonts w:ascii="Arial" w:cs="Arial" w:eastAsia="Arial" w:hAnsi="Arial"/>
                <w:b w:val="0"/>
                <w:bCs w:val="0"/>
                <w:i w:val="0"/>
                <w:iCs w:val="0"/>
                <w:color w:val="111111"/>
                <w:sz w:val="16"/>
                <w:szCs w:val="16"/>
                <w:rtl w:val="0"/>
              </w:rPr>
              <w:t xml:space="preserve">High [value]</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BF">
            <w:pPr>
              <w:keepNext w:val="0"/>
              <w:spacing w:after="0" w:before="0" w:line="240" w:lineRule="auto"/>
              <w:jc w:val="center"/>
              <w:rPr/>
            </w:pPr>
            <w:r>
              <w:rPr>
                <w:rFonts w:ascii="Arial" w:cs="Arial" w:eastAsia="Arial" w:hAnsi="Arial"/>
                <w:b w:val="0"/>
                <w:bCs w:val="0"/>
                <w:i w:val="0"/>
                <w:iCs w:val="0"/>
                <w:color w:val="111111"/>
                <w:sz w:val="16"/>
                <w:szCs w:val="16"/>
                <w:rtl w:val="0"/>
              </w:rPr>
              <w:t xml:space="preserve">[Return]</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C0">
            <w:pPr>
              <w:keepNext w:val="0"/>
              <w:spacing w:after="0" w:before="0" w:line="240" w:lineRule="auto"/>
              <w:jc w:val="center"/>
              <w:rPr/>
            </w:pPr>
            <w:r>
              <w:rPr>
                <w:rFonts w:ascii="Arial" w:cs="Arial" w:eastAsia="Arial" w:hAnsi="Arial"/>
                <w:b w:val="0"/>
                <w:bCs w:val="0"/>
                <w:i w:val="0"/>
                <w:iCs w:val="0"/>
                <w:color w:val="111111"/>
                <w:sz w:val="16"/>
                <w:szCs w:val="16"/>
                <w:rtl w:val="0"/>
              </w:rPr>
              <w:t xml:space="preserve">[Return]</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C1">
            <w:pPr>
              <w:keepNext w:val="0"/>
              <w:spacing w:after="0" w:before="0" w:line="240" w:lineRule="auto"/>
              <w:jc w:val="center"/>
              <w:rPr/>
            </w:pPr>
            <w:r>
              <w:rPr>
                <w:rFonts w:ascii="Arial" w:cs="Arial" w:eastAsia="Arial" w:hAnsi="Arial"/>
                <w:b w:val="0"/>
                <w:bCs w:val="0"/>
                <w:i w:val="0"/>
                <w:iCs w:val="0"/>
                <w:color w:val="111111"/>
                <w:sz w:val="16"/>
                <w:szCs w:val="16"/>
                <w:rtl w:val="0"/>
              </w:rPr>
              <w:t xml:space="preserve">[Return]</w:t>
            </w:r>
            <w:r>
              <w:rPr>
                <w:rtl w:val="0"/>
              </w:rPr>
            </w:r>
          </w:p>
        </w:tc>
      </w:tr>
    </w:tbl>
    <w:p w14:paraId="000000C2">
      <w:pPr>
        <w:keepNext w:val="0"/>
        <w:pageBreakBefore w:val="0"/>
        <w:spacing w:after="20" w:before="0" w:line="240" w:lineRule="auto"/>
        <w:rPr/>
      </w:pPr>
      <w:r>
        <w:rPr>
          <w:rtl w:val="0"/>
        </w:rPr>
      </w:r>
    </w:p>
    <w:p w14:paraId="000000C3">
      <w:pPr>
        <w:keepNext w:val="0"/>
        <w:keepLines w:val="1"/>
        <w:pageBreakBefore w:val="0"/>
        <w:spacing w:after="160" w:before="40" w:line="240" w:lineRule="auto"/>
        <w:rPr/>
      </w:pPr>
      <w:r>
        <w:rPr>
          <w:rFonts w:ascii="Arial" w:cs="Arial" w:eastAsia="Arial" w:hAnsi="Arial"/>
          <w:b w:val="0"/>
          <w:bCs w:val="0"/>
          <w:i w:val="1"/>
          <w:iCs w:val="1"/>
          <w:color w:val="111111"/>
          <w:sz w:val="18"/>
          <w:szCs w:val="18"/>
          <w:rtl w:val="0"/>
        </w:rPr>
        <w:t xml:space="preserve">[State the decision-relevant conclusion from the sensitivity range.]</w:t>
      </w:r>
      <w:r>
        <w:rPr>
          <w:rtl w:val="0"/>
        </w:rPr>
      </w:r>
    </w:p>
    <w:p w14:paraId="000000C4">
      <w:pPr>
        <w:pStyle w:val="Heading1"/>
        <w:keepNext w:val="1"/>
        <w:pageBreakBefore w:val="1"/>
        <w:spacing w:after="200" w:before="320" w:line="240" w:lineRule="auto"/>
        <w:rPr/>
      </w:pPr>
      <w:r>
        <w:rPr>
          <w:rFonts w:ascii="Arial" w:cs="Arial" w:eastAsia="Arial" w:hAnsi="Arial"/>
          <w:b w:val="1"/>
          <w:bCs w:val="1"/>
          <w:i w:val="0"/>
          <w:iCs w:val="0"/>
          <w:color w:val="111111"/>
          <w:sz w:val="22"/>
          <w:szCs w:val="22"/>
          <w:rtl w:val="0"/>
        </w:rPr>
        <w:t xml:space="preserve">12.   Deal Terms</w:t>
      </w:r>
      <w:r>
        <w:rPr>
          <w:rtl w:val="0"/>
        </w:rPr>
      </w:r>
    </w:p>
    <w:p w14:paraId="000000C5">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Transaction structure and economics</w:t>
      </w:r>
      <w:r>
        <w:rPr>
          <w:rtl w:val="0"/>
        </w:rPr>
      </w:r>
    </w:p>
    <w:p w14:paraId="000000C6">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[Describe the security or transaction structure, amount requested now, entry price or valuation, ownership or dilution, economic priority, liquidation terms, and use of proceeds.]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C7">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Governance and investor protections</w:t>
      </w:r>
      <w:r>
        <w:rPr>
          <w:rtl w:val="0"/>
        </w:rPr>
      </w:r>
    </w:p>
    <w:p w14:paraId="000000C8">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[Describe board representation, voting or consent rights, information rights, protective provisions, transfer restrictions, and other terms material to control or downside protection.]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C9">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Closing conditions and key dates</w:t>
      </w:r>
      <w:r>
        <w:rPr>
          <w:rtl w:val="0"/>
        </w:rPr>
      </w:r>
    </w:p>
    <w:p w14:paraId="000000CA">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[Describe the conditions required before signing, closing, or funding; the responsible party for each material condition; and expected timing.]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CB">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Term assessment</w:t>
      </w:r>
      <w:r>
        <w:rPr>
          <w:rtl w:val="0"/>
        </w:rPr>
      </w:r>
    </w:p>
    <w:p w14:paraId="000000CC">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[Compare the proposed terms with relevant alternatives or benchmarks and explain whether the package adequately compensates for underwriting risk.]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CD">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Staged capital</w:t>
      </w:r>
      <w:r>
        <w:rPr>
          <w:rtl w:val="0"/>
        </w:rPr>
      </w:r>
    </w:p>
    <w:tbl>
      <w:tblPr>
        <w:tblStyle w:val="Table5"/>
        <w:tblW w:w="9345.0" w:type="dxa"/>
        <w:jc w:val="left"/>
        <w:tblLayout w:type="fixed"/>
        <w:tblLook w:val="0400"/>
      </w:tblPr>
      <w:tblGrid>
        <w:gridCol w:w="2100"/>
        <w:gridCol w:w="1100"/>
        <w:gridCol w:w="2450"/>
        <w:gridCol w:w="1600"/>
        <w:gridCol w:w="2095"/>
        <w:tblGridChange w:id="0">
          <w:tblGrid>
            <w:gridCol w:w="2100"/>
            <w:gridCol w:w="1100"/>
            <w:gridCol w:w="2450"/>
            <w:gridCol w:w="1600"/>
            <w:gridCol w:w="2095"/>
          </w:tblGrid>
        </w:tblGridChange>
      </w:tblGrid>
      <w:tr>
        <w:trPr>
          <w:cantSplit w:val="0"/>
          <w:trHeight w:val="480" w:hRule="atLeast"/>
          <w:tblHeader w:val="1"/>
        </w:trPr>
        <w:tc>
          <w:tcPr>
            <w:tcBorders>
              <w:top w:color="e6e6e6" w:space="0" w:sz="4" w:val="single"/>
              <w:bottom w:color="e6e6e6" w:space="0" w:sz="4" w:val="single"/>
            </w:tcBorders>
            <w:shd w:fill="111111" w:val="clear"/>
            <w:tcMar>
              <w:top w:w="120.0" w:type="dxa"/>
              <w:bottom w:w="120.0" w:type="dxa"/>
            </w:tcMar>
            <w:vAlign w:val="center"/>
          </w:tcPr>
          <w:p w14:paraId="000000CE">
            <w:pPr>
              <w:keepNext w:val="0"/>
              <w:spacing w:after="0" w:before="0" w:line="240" w:lineRule="auto"/>
              <w:jc w:val="center"/>
              <w:rPr/>
            </w:pPr>
            <w:r>
              <w:rPr>
                <w:rFonts w:ascii="Arial" w:cs="Arial" w:eastAsia="Arial" w:hAnsi="Arial"/>
                <w:b w:val="1"/>
                <w:bCs w:val="1"/>
                <w:i w:val="0"/>
                <w:iCs w:val="0"/>
                <w:color w:val="ffffff"/>
                <w:sz w:val="15"/>
                <w:szCs w:val="15"/>
                <w:rtl w:val="0"/>
              </w:rPr>
              <w:t xml:space="preserve">Capital stage</w:t>
            </w:r>
            <w:r>
              <w:rPr>
                <w:rtl w:val="0"/>
              </w:rPr>
            </w:r>
          </w:p>
        </w:tc>
        <w:tc>
          <w:tcPr>
            <w:tcBorders>
              <w:top w:color="e6e6e6" w:space="0" w:sz="4" w:val="single"/>
              <w:bottom w:color="e6e6e6" w:space="0" w:sz="4" w:val="single"/>
            </w:tcBorders>
            <w:shd w:fill="111111" w:val="clear"/>
            <w:tcMar>
              <w:top w:w="120.0" w:type="dxa"/>
              <w:bottom w:w="120.0" w:type="dxa"/>
            </w:tcMar>
            <w:vAlign w:val="center"/>
          </w:tcPr>
          <w:p w14:paraId="000000CF">
            <w:pPr>
              <w:keepNext w:val="0"/>
              <w:spacing w:after="0" w:before="0" w:line="240" w:lineRule="auto"/>
              <w:jc w:val="center"/>
              <w:rPr/>
            </w:pPr>
            <w:r>
              <w:rPr>
                <w:rFonts w:ascii="Arial" w:cs="Arial" w:eastAsia="Arial" w:hAnsi="Arial"/>
                <w:b w:val="1"/>
                <w:bCs w:val="1"/>
                <w:i w:val="0"/>
                <w:iCs w:val="0"/>
                <w:color w:val="ffffff"/>
                <w:sz w:val="15"/>
                <w:szCs w:val="15"/>
                <w:rtl w:val="0"/>
              </w:rPr>
              <w:t xml:space="preserve">Amount</w:t>
            </w:r>
            <w:r>
              <w:rPr>
                <w:rtl w:val="0"/>
              </w:rPr>
            </w:r>
          </w:p>
        </w:tc>
        <w:tc>
          <w:tcPr>
            <w:tcBorders>
              <w:top w:color="e6e6e6" w:space="0" w:sz="4" w:val="single"/>
              <w:bottom w:color="e6e6e6" w:space="0" w:sz="4" w:val="single"/>
            </w:tcBorders>
            <w:shd w:fill="111111" w:val="clear"/>
            <w:tcMar>
              <w:top w:w="120.0" w:type="dxa"/>
              <w:bottom w:w="120.0" w:type="dxa"/>
            </w:tcMar>
            <w:vAlign w:val="center"/>
          </w:tcPr>
          <w:p w14:paraId="000000D0">
            <w:pPr>
              <w:keepNext w:val="0"/>
              <w:spacing w:after="0" w:before="0" w:line="240" w:lineRule="auto"/>
              <w:jc w:val="center"/>
              <w:rPr/>
            </w:pPr>
            <w:r>
              <w:rPr>
                <w:rFonts w:ascii="Arial" w:cs="Arial" w:eastAsia="Arial" w:hAnsi="Arial"/>
                <w:b w:val="1"/>
                <w:bCs w:val="1"/>
                <w:i w:val="0"/>
                <w:iCs w:val="0"/>
                <w:color w:val="ffffff"/>
                <w:sz w:val="15"/>
                <w:szCs w:val="15"/>
                <w:rtl w:val="0"/>
              </w:rPr>
              <w:t xml:space="preserve">Authorization status</w:t>
            </w:r>
            <w:r>
              <w:rPr>
                <w:rtl w:val="0"/>
              </w:rPr>
            </w:r>
          </w:p>
        </w:tc>
        <w:tc>
          <w:tcPr>
            <w:tcBorders>
              <w:top w:color="e6e6e6" w:space="0" w:sz="4" w:val="single"/>
              <w:bottom w:color="e6e6e6" w:space="0" w:sz="4" w:val="single"/>
            </w:tcBorders>
            <w:shd w:fill="111111" w:val="clear"/>
            <w:tcMar>
              <w:top w:w="120.0" w:type="dxa"/>
              <w:bottom w:w="120.0" w:type="dxa"/>
            </w:tcMar>
            <w:vAlign w:val="center"/>
          </w:tcPr>
          <w:p w14:paraId="000000D1">
            <w:pPr>
              <w:keepNext w:val="0"/>
              <w:spacing w:after="0" w:before="0" w:line="240" w:lineRule="auto"/>
              <w:jc w:val="center"/>
              <w:rPr/>
            </w:pPr>
            <w:r>
              <w:rPr>
                <w:rFonts w:ascii="Arial" w:cs="Arial" w:eastAsia="Arial" w:hAnsi="Arial"/>
                <w:b w:val="1"/>
                <w:bCs w:val="1"/>
                <w:i w:val="0"/>
                <w:iCs w:val="0"/>
                <w:color w:val="ffffff"/>
                <w:sz w:val="15"/>
                <w:szCs w:val="15"/>
                <w:rtl w:val="0"/>
              </w:rPr>
              <w:t xml:space="preserve">Timing / trigger</w:t>
            </w:r>
            <w:r>
              <w:rPr>
                <w:rtl w:val="0"/>
              </w:rPr>
            </w:r>
          </w:p>
        </w:tc>
        <w:tc>
          <w:tcPr>
            <w:tcBorders>
              <w:top w:color="e6e6e6" w:space="0" w:sz="4" w:val="single"/>
              <w:bottom w:color="e6e6e6" w:space="0" w:sz="4" w:val="single"/>
            </w:tcBorders>
            <w:shd w:fill="111111" w:val="clear"/>
            <w:tcMar>
              <w:top w:w="120.0" w:type="dxa"/>
              <w:bottom w:w="120.0" w:type="dxa"/>
            </w:tcMar>
            <w:vAlign w:val="center"/>
          </w:tcPr>
          <w:p w14:paraId="000000D2">
            <w:pPr>
              <w:keepNext w:val="0"/>
              <w:spacing w:after="0" w:before="0" w:line="240" w:lineRule="auto"/>
              <w:jc w:val="center"/>
              <w:rPr/>
            </w:pPr>
            <w:r>
              <w:rPr>
                <w:rFonts w:ascii="Arial" w:cs="Arial" w:eastAsia="Arial" w:hAnsi="Arial"/>
                <w:b w:val="1"/>
                <w:bCs w:val="1"/>
                <w:i w:val="0"/>
                <w:iCs w:val="0"/>
                <w:color w:val="ffffff"/>
                <w:sz w:val="15"/>
                <w:szCs w:val="15"/>
                <w:rtl w:val="0"/>
              </w:rPr>
              <w:t xml:space="preserve">Conditions</w:t>
            </w:r>
            <w:r>
              <w:rPr>
                <w:rtl w:val="0"/>
              </w:rPr>
            </w:r>
          </w:p>
        </w:tc>
      </w:tr>
      <w:tr>
        <w:trPr>
          <w:cantSplit w:val="1"/>
          <w:trHeight w:val="440" w:hRule="atLeast"/>
          <w:tblHeader w:val="0"/>
        </w:trPr>
        <w:tc>
          <w:tcPr>
            <w:tcBorders>
              <w:top w:color="e6e6e6" w:space="0" w:sz="4" w:val="single"/>
              <w:bottom w:color="e6e6e6" w:space="0" w:sz="4" w:val="single"/>
            </w:tcBorders>
            <w:shd w:fill="f7f7f7" w:val="clear"/>
            <w:tcMar>
              <w:top w:w="100.0" w:type="dxa"/>
              <w:bottom w:w="100.0" w:type="dxa"/>
            </w:tcMar>
            <w:vAlign w:val="center"/>
          </w:tcPr>
          <w:p w14:paraId="000000D3">
            <w:pPr>
              <w:keepNext w:val="0"/>
              <w:spacing w:after="0" w:before="0" w:line="240" w:lineRule="auto"/>
              <w:jc w:val="left"/>
              <w:rPr/>
            </w:pPr>
            <w:r>
              <w:rPr>
                <w:rFonts w:ascii="Arial" w:cs="Arial" w:eastAsia="Arial" w:hAnsi="Arial"/>
                <w:b w:val="0"/>
                <w:bCs w:val="0"/>
                <w:i w:val="0"/>
                <w:iCs w:val="0"/>
                <w:color w:val="111111"/>
                <w:sz w:val="15"/>
                <w:szCs w:val="15"/>
                <w:rtl w:val="0"/>
              </w:rPr>
              <w:t xml:space="preserve">Current commitment</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D4">
            <w:pPr>
              <w:keepNext w:val="0"/>
              <w:spacing w:after="0" w:before="0" w:line="240" w:lineRule="auto"/>
              <w:jc w:val="right"/>
              <w:rPr/>
            </w:pPr>
            <w:r>
              <w:rPr>
                <w:rFonts w:ascii="Arial" w:cs="Arial" w:eastAsia="Arial" w:hAnsi="Arial"/>
                <w:b w:val="0"/>
                <w:bCs w:val="0"/>
                <w:i w:val="0"/>
                <w:iCs w:val="0"/>
                <w:color w:val="111111"/>
                <w:sz w:val="15"/>
                <w:szCs w:val="15"/>
                <w:rtl w:val="0"/>
              </w:rPr>
              <w:t xml:space="preserve">[Amount]</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D5">
            <w:pPr>
              <w:keepNext w:val="0"/>
              <w:spacing w:after="0" w:before="0" w:line="240" w:lineRule="auto"/>
              <w:jc w:val="left"/>
              <w:rPr/>
            </w:pPr>
            <w:r>
              <w:rPr>
                <w:rFonts w:ascii="Arial" w:cs="Arial" w:eastAsia="Arial" w:hAnsi="Arial"/>
                <w:b w:val="0"/>
                <w:bCs w:val="0"/>
                <w:i w:val="0"/>
                <w:iCs w:val="0"/>
                <w:color w:val="111111"/>
                <w:sz w:val="15"/>
                <w:szCs w:val="15"/>
                <w:rtl w:val="0"/>
              </w:rPr>
              <w:t xml:space="preserve">Already approved / committed / funded</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D6">
            <w:pPr>
              <w:keepNext w:val="0"/>
              <w:spacing w:after="0" w:before="0" w:line="240" w:lineRule="auto"/>
              <w:jc w:val="left"/>
              <w:rPr/>
            </w:pPr>
            <w:r>
              <w:rPr>
                <w:rFonts w:ascii="Arial" w:cs="Arial" w:eastAsia="Arial" w:hAnsi="Arial"/>
                <w:b w:val="0"/>
                <w:bCs w:val="0"/>
                <w:i w:val="0"/>
                <w:iCs w:val="0"/>
                <w:color w:val="111111"/>
                <w:sz w:val="15"/>
                <w:szCs w:val="15"/>
                <w:rtl w:val="0"/>
              </w:rPr>
              <w:t xml:space="preserve">[Date / status]</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D7">
            <w:pPr>
              <w:keepNext w:val="0"/>
              <w:spacing w:after="0" w:before="0" w:line="240" w:lineRule="auto"/>
              <w:jc w:val="left"/>
              <w:rPr/>
            </w:pPr>
            <w:r>
              <w:rPr>
                <w:rFonts w:ascii="Arial" w:cs="Arial" w:eastAsia="Arial" w:hAnsi="Arial"/>
                <w:b w:val="0"/>
                <w:bCs w:val="0"/>
                <w:i w:val="0"/>
                <w:iCs w:val="0"/>
                <w:color w:val="111111"/>
                <w:sz w:val="15"/>
                <w:szCs w:val="15"/>
                <w:rtl w:val="0"/>
              </w:rPr>
              <w:t xml:space="preserve">[Conditions]</w:t>
            </w:r>
            <w:r>
              <w:rPr>
                <w:rtl w:val="0"/>
              </w:rPr>
            </w:r>
          </w:p>
        </w:tc>
      </w:tr>
      <w:tr>
        <w:trPr>
          <w:cantSplit w:val="1"/>
          <w:trHeight w:val="440" w:hRule="atLeast"/>
          <w:tblHeader w:val="0"/>
        </w:trPr>
        <w:tc>
          <w:tcPr>
            <w:tcBorders>
              <w:top w:color="e6e6e6" w:space="0" w:sz="4" w:val="single"/>
              <w:bottom w:color="e6e6e6" w:space="0" w:sz="4" w:val="single"/>
            </w:tcBorders>
            <w:shd w:fill="ffffff" w:val="clear"/>
            <w:tcMar>
              <w:top w:w="100.0" w:type="dxa"/>
              <w:bottom w:w="100.0" w:type="dxa"/>
            </w:tcMar>
            <w:vAlign w:val="center"/>
          </w:tcPr>
          <w:p w14:paraId="000000D8">
            <w:pPr>
              <w:keepNext w:val="0"/>
              <w:spacing w:after="0" w:before="0" w:line="240" w:lineRule="auto"/>
              <w:jc w:val="left"/>
              <w:rPr/>
            </w:pPr>
            <w:r>
              <w:rPr>
                <w:rFonts w:ascii="Arial" w:cs="Arial" w:eastAsia="Arial" w:hAnsi="Arial"/>
                <w:b w:val="0"/>
                <w:bCs w:val="0"/>
                <w:i w:val="0"/>
                <w:iCs w:val="0"/>
                <w:color w:val="111111"/>
                <w:sz w:val="15"/>
                <w:szCs w:val="15"/>
                <w:rtl w:val="0"/>
              </w:rPr>
              <w:t xml:space="preserve">Amount requested now</w:t>
            </w:r>
            <w:r>
              <w:rPr>
                <w:rtl w:val="0"/>
              </w:rPr>
            </w:r>
          </w:p>
        </w:tc>
        <w:tc>
          <w:tcPr>
            <w:tcBorders>
              <w:top w:color="e6e6e6" w:space="0" w:sz="4" w:val="single"/>
              <w:bottom w:color="e6e6e6" w:space="0" w:sz="4" w:val="single"/>
            </w:tcBorders>
            <w:shd w:fill="ffffff" w:val="clear"/>
            <w:tcMar>
              <w:top w:w="100.0" w:type="dxa"/>
              <w:bottom w:w="100.0" w:type="dxa"/>
            </w:tcMar>
            <w:vAlign w:val="center"/>
          </w:tcPr>
          <w:p w14:paraId="000000D9">
            <w:pPr>
              <w:keepNext w:val="0"/>
              <w:spacing w:after="0" w:before="0" w:line="240" w:lineRule="auto"/>
              <w:jc w:val="right"/>
              <w:rPr/>
            </w:pPr>
            <w:r>
              <w:rPr>
                <w:rFonts w:ascii="Arial" w:cs="Arial" w:eastAsia="Arial" w:hAnsi="Arial"/>
                <w:b w:val="0"/>
                <w:bCs w:val="0"/>
                <w:i w:val="0"/>
                <w:iCs w:val="0"/>
                <w:color w:val="111111"/>
                <w:sz w:val="15"/>
                <w:szCs w:val="15"/>
                <w:rtl w:val="0"/>
              </w:rPr>
              <w:t xml:space="preserve">[Amount]</w:t>
            </w:r>
            <w:r>
              <w:rPr>
                <w:rtl w:val="0"/>
              </w:rPr>
            </w:r>
          </w:p>
        </w:tc>
        <w:tc>
          <w:tcPr>
            <w:tcBorders>
              <w:top w:color="e6e6e6" w:space="0" w:sz="4" w:val="single"/>
              <w:bottom w:color="e6e6e6" w:space="0" w:sz="4" w:val="single"/>
            </w:tcBorders>
            <w:shd w:fill="ffffff" w:val="clear"/>
            <w:tcMar>
              <w:top w:w="100.0" w:type="dxa"/>
              <w:bottom w:w="100.0" w:type="dxa"/>
            </w:tcMar>
            <w:vAlign w:val="center"/>
          </w:tcPr>
          <w:p w14:paraId="000000DA">
            <w:pPr>
              <w:keepNext w:val="0"/>
              <w:spacing w:after="0" w:before="0" w:line="240" w:lineRule="auto"/>
              <w:jc w:val="left"/>
              <w:rPr/>
            </w:pPr>
            <w:r>
              <w:rPr>
                <w:rFonts w:ascii="Arial" w:cs="Arial" w:eastAsia="Arial" w:hAnsi="Arial"/>
                <w:b w:val="0"/>
                <w:bCs w:val="0"/>
                <w:i w:val="0"/>
                <w:iCs w:val="0"/>
                <w:color w:val="111111"/>
                <w:sz w:val="15"/>
                <w:szCs w:val="15"/>
                <w:rtl w:val="0"/>
              </w:rPr>
              <w:t xml:space="preserve">Authorization requested at this meeting</w:t>
            </w:r>
            <w:r>
              <w:rPr>
                <w:rtl w:val="0"/>
              </w:rPr>
            </w:r>
          </w:p>
        </w:tc>
        <w:tc>
          <w:tcPr>
            <w:tcBorders>
              <w:top w:color="e6e6e6" w:space="0" w:sz="4" w:val="single"/>
              <w:bottom w:color="e6e6e6" w:space="0" w:sz="4" w:val="single"/>
            </w:tcBorders>
            <w:shd w:fill="ffffff" w:val="clear"/>
            <w:tcMar>
              <w:top w:w="100.0" w:type="dxa"/>
              <w:bottom w:w="100.0" w:type="dxa"/>
            </w:tcMar>
            <w:vAlign w:val="center"/>
          </w:tcPr>
          <w:p w14:paraId="000000DB">
            <w:pPr>
              <w:keepNext w:val="0"/>
              <w:spacing w:after="0" w:before="0" w:line="240" w:lineRule="auto"/>
              <w:jc w:val="left"/>
              <w:rPr/>
            </w:pPr>
            <w:r>
              <w:rPr>
                <w:rFonts w:ascii="Arial" w:cs="Arial" w:eastAsia="Arial" w:hAnsi="Arial"/>
                <w:b w:val="0"/>
                <w:bCs w:val="0"/>
                <w:i w:val="0"/>
                <w:iCs w:val="0"/>
                <w:color w:val="111111"/>
                <w:sz w:val="15"/>
                <w:szCs w:val="15"/>
                <w:rtl w:val="0"/>
              </w:rPr>
              <w:t xml:space="preserve">[Timing]</w:t>
            </w:r>
            <w:r>
              <w:rPr>
                <w:rtl w:val="0"/>
              </w:rPr>
            </w:r>
          </w:p>
        </w:tc>
        <w:tc>
          <w:tcPr>
            <w:tcBorders>
              <w:top w:color="e6e6e6" w:space="0" w:sz="4" w:val="single"/>
              <w:bottom w:color="e6e6e6" w:space="0" w:sz="4" w:val="single"/>
            </w:tcBorders>
            <w:shd w:fill="ffffff" w:val="clear"/>
            <w:tcMar>
              <w:top w:w="100.0" w:type="dxa"/>
              <w:bottom w:w="100.0" w:type="dxa"/>
            </w:tcMar>
            <w:vAlign w:val="center"/>
          </w:tcPr>
          <w:p w14:paraId="000000DC">
            <w:pPr>
              <w:keepNext w:val="0"/>
              <w:spacing w:after="0" w:before="0" w:line="240" w:lineRule="auto"/>
              <w:jc w:val="left"/>
              <w:rPr/>
            </w:pPr>
            <w:r>
              <w:rPr>
                <w:rFonts w:ascii="Arial" w:cs="Arial" w:eastAsia="Arial" w:hAnsi="Arial"/>
                <w:b w:val="0"/>
                <w:bCs w:val="0"/>
                <w:i w:val="0"/>
                <w:iCs w:val="0"/>
                <w:color w:val="111111"/>
                <w:sz w:val="15"/>
                <w:szCs w:val="15"/>
                <w:rtl w:val="0"/>
              </w:rPr>
              <w:t xml:space="preserve">[Conditions]</w:t>
            </w:r>
            <w:r>
              <w:rPr>
                <w:rtl w:val="0"/>
              </w:rPr>
            </w:r>
          </w:p>
        </w:tc>
      </w:tr>
      <w:tr>
        <w:trPr>
          <w:cantSplit w:val="1"/>
          <w:trHeight w:val="440" w:hRule="atLeast"/>
          <w:tblHeader w:val="0"/>
        </w:trPr>
        <w:tc>
          <w:tcPr>
            <w:tcBorders>
              <w:top w:color="e6e6e6" w:space="0" w:sz="4" w:val="single"/>
              <w:bottom w:color="e6e6e6" w:space="0" w:sz="4" w:val="single"/>
            </w:tcBorders>
            <w:shd w:fill="f7f7f7" w:val="clear"/>
            <w:tcMar>
              <w:top w:w="100.0" w:type="dxa"/>
              <w:bottom w:w="100.0" w:type="dxa"/>
            </w:tcMar>
            <w:vAlign w:val="center"/>
          </w:tcPr>
          <w:p w14:paraId="000000DD">
            <w:pPr>
              <w:keepNext w:val="0"/>
              <w:spacing w:after="0" w:before="0" w:line="240" w:lineRule="auto"/>
              <w:jc w:val="left"/>
              <w:rPr/>
            </w:pPr>
            <w:r>
              <w:rPr>
                <w:rFonts w:ascii="Arial" w:cs="Arial" w:eastAsia="Arial" w:hAnsi="Arial"/>
                <w:b w:val="0"/>
                <w:bCs w:val="0"/>
                <w:i w:val="0"/>
                <w:iCs w:val="0"/>
                <w:color w:val="111111"/>
                <w:sz w:val="15"/>
                <w:szCs w:val="15"/>
                <w:rtl w:val="0"/>
              </w:rPr>
              <w:t xml:space="preserve">Conditional future capital - [Stage 1]</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DE">
            <w:pPr>
              <w:keepNext w:val="0"/>
              <w:spacing w:after="0" w:before="0" w:line="240" w:lineRule="auto"/>
              <w:jc w:val="right"/>
              <w:rPr/>
            </w:pPr>
            <w:r>
              <w:rPr>
                <w:rFonts w:ascii="Arial" w:cs="Arial" w:eastAsia="Arial" w:hAnsi="Arial"/>
                <w:b w:val="0"/>
                <w:bCs w:val="0"/>
                <w:i w:val="0"/>
                <w:iCs w:val="0"/>
                <w:color w:val="111111"/>
                <w:sz w:val="15"/>
                <w:szCs w:val="15"/>
                <w:rtl w:val="0"/>
              </w:rPr>
              <w:t xml:space="preserve">[Amount]</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DF">
            <w:pPr>
              <w:keepNext w:val="0"/>
              <w:spacing w:after="0" w:before="0" w:line="240" w:lineRule="auto"/>
              <w:jc w:val="left"/>
              <w:rPr/>
            </w:pPr>
            <w:r>
              <w:rPr>
                <w:rFonts w:ascii="Arial" w:cs="Arial" w:eastAsia="Arial" w:hAnsi="Arial"/>
                <w:b w:val="0"/>
                <w:bCs w:val="0"/>
                <w:i w:val="0"/>
                <w:iCs w:val="0"/>
                <w:color w:val="111111"/>
                <w:sz w:val="15"/>
                <w:szCs w:val="15"/>
                <w:rtl w:val="0"/>
              </w:rPr>
              <w:t xml:space="preserve">Not authorized now; future approval required</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E0">
            <w:pPr>
              <w:keepNext w:val="0"/>
              <w:spacing w:after="0" w:before="0" w:line="240" w:lineRule="auto"/>
              <w:jc w:val="left"/>
              <w:rPr/>
            </w:pPr>
            <w:r>
              <w:rPr>
                <w:rFonts w:ascii="Arial" w:cs="Arial" w:eastAsia="Arial" w:hAnsi="Arial"/>
                <w:b w:val="0"/>
                <w:bCs w:val="0"/>
                <w:i w:val="0"/>
                <w:iCs w:val="0"/>
                <w:color w:val="111111"/>
                <w:sz w:val="15"/>
                <w:szCs w:val="15"/>
                <w:rtl w:val="0"/>
              </w:rPr>
              <w:t xml:space="preserve">[Milestone]</w:t>
            </w:r>
            <w:r>
              <w:rPr>
                <w:rtl w:val="0"/>
              </w:rPr>
            </w:r>
          </w:p>
        </w:tc>
        <w:tc>
          <w:tcPr>
            <w:tcBorders>
              <w:top w:color="e6e6e6" w:space="0" w:sz="4" w:val="single"/>
              <w:bottom w:color="e6e6e6" w:space="0" w:sz="4" w:val="single"/>
            </w:tcBorders>
            <w:shd w:fill="f7f7f7" w:val="clear"/>
            <w:tcMar>
              <w:top w:w="100.0" w:type="dxa"/>
              <w:bottom w:w="100.0" w:type="dxa"/>
            </w:tcMar>
            <w:vAlign w:val="center"/>
          </w:tcPr>
          <w:p w14:paraId="000000E1">
            <w:pPr>
              <w:keepNext w:val="0"/>
              <w:spacing w:after="0" w:before="0" w:line="240" w:lineRule="auto"/>
              <w:jc w:val="left"/>
              <w:rPr/>
            </w:pPr>
            <w:r>
              <w:rPr>
                <w:rFonts w:ascii="Arial" w:cs="Arial" w:eastAsia="Arial" w:hAnsi="Arial"/>
                <w:b w:val="0"/>
                <w:bCs w:val="0"/>
                <w:i w:val="0"/>
                <w:iCs w:val="0"/>
                <w:color w:val="111111"/>
                <w:sz w:val="15"/>
                <w:szCs w:val="15"/>
                <w:rtl w:val="0"/>
              </w:rPr>
              <w:t xml:space="preserve">[Conditions]</w:t>
            </w:r>
            <w:r>
              <w:rPr>
                <w:rtl w:val="0"/>
              </w:rPr>
            </w:r>
          </w:p>
        </w:tc>
      </w:tr>
      <w:tr>
        <w:trPr>
          <w:cantSplit w:val="1"/>
          <w:trHeight w:val="440" w:hRule="atLeast"/>
          <w:tblHeader w:val="0"/>
        </w:trPr>
        <w:tc>
          <w:tcPr>
            <w:tcBorders>
              <w:top w:color="e6e6e6" w:space="0" w:sz="4" w:val="single"/>
              <w:bottom w:color="e6e6e6" w:space="0" w:sz="4" w:val="single"/>
            </w:tcBorders>
            <w:shd w:fill="ffffff" w:val="clear"/>
            <w:tcMar>
              <w:top w:w="100.0" w:type="dxa"/>
              <w:bottom w:w="100.0" w:type="dxa"/>
            </w:tcMar>
            <w:vAlign w:val="center"/>
          </w:tcPr>
          <w:p w14:paraId="000000E2">
            <w:pPr>
              <w:keepNext w:val="0"/>
              <w:spacing w:after="0" w:before="0" w:line="240" w:lineRule="auto"/>
              <w:jc w:val="left"/>
              <w:rPr/>
            </w:pPr>
            <w:r>
              <w:rPr>
                <w:rFonts w:ascii="Arial" w:cs="Arial" w:eastAsia="Arial" w:hAnsi="Arial"/>
                <w:b w:val="0"/>
                <w:bCs w:val="0"/>
                <w:i w:val="0"/>
                <w:iCs w:val="0"/>
                <w:color w:val="111111"/>
                <w:sz w:val="15"/>
                <w:szCs w:val="15"/>
                <w:rtl w:val="0"/>
              </w:rPr>
              <w:t xml:space="preserve">Conditional future capital - [Stage 2, if applicable]</w:t>
            </w:r>
            <w:r>
              <w:rPr>
                <w:rtl w:val="0"/>
              </w:rPr>
            </w:r>
          </w:p>
        </w:tc>
        <w:tc>
          <w:tcPr>
            <w:tcBorders>
              <w:top w:color="e6e6e6" w:space="0" w:sz="4" w:val="single"/>
              <w:bottom w:color="e6e6e6" w:space="0" w:sz="4" w:val="single"/>
            </w:tcBorders>
            <w:shd w:fill="ffffff" w:val="clear"/>
            <w:tcMar>
              <w:top w:w="100.0" w:type="dxa"/>
              <w:bottom w:w="100.0" w:type="dxa"/>
            </w:tcMar>
            <w:vAlign w:val="center"/>
          </w:tcPr>
          <w:p w14:paraId="000000E3">
            <w:pPr>
              <w:keepNext w:val="0"/>
              <w:spacing w:after="0" w:before="0" w:line="240" w:lineRule="auto"/>
              <w:jc w:val="right"/>
              <w:rPr/>
            </w:pPr>
            <w:r>
              <w:rPr>
                <w:rFonts w:ascii="Arial" w:cs="Arial" w:eastAsia="Arial" w:hAnsi="Arial"/>
                <w:b w:val="0"/>
                <w:bCs w:val="0"/>
                <w:i w:val="0"/>
                <w:iCs w:val="0"/>
                <w:color w:val="111111"/>
                <w:sz w:val="15"/>
                <w:szCs w:val="15"/>
                <w:rtl w:val="0"/>
              </w:rPr>
              <w:t xml:space="preserve">[Amount]</w:t>
            </w:r>
            <w:r>
              <w:rPr>
                <w:rtl w:val="0"/>
              </w:rPr>
            </w:r>
          </w:p>
        </w:tc>
        <w:tc>
          <w:tcPr>
            <w:tcBorders>
              <w:top w:color="e6e6e6" w:space="0" w:sz="4" w:val="single"/>
              <w:bottom w:color="e6e6e6" w:space="0" w:sz="4" w:val="single"/>
            </w:tcBorders>
            <w:shd w:fill="ffffff" w:val="clear"/>
            <w:tcMar>
              <w:top w:w="100.0" w:type="dxa"/>
              <w:bottom w:w="100.0" w:type="dxa"/>
            </w:tcMar>
            <w:vAlign w:val="center"/>
          </w:tcPr>
          <w:p w14:paraId="000000E4">
            <w:pPr>
              <w:keepNext w:val="0"/>
              <w:spacing w:after="0" w:before="0" w:line="240" w:lineRule="auto"/>
              <w:jc w:val="left"/>
              <w:rPr/>
            </w:pPr>
            <w:r>
              <w:rPr>
                <w:rFonts w:ascii="Arial" w:cs="Arial" w:eastAsia="Arial" w:hAnsi="Arial"/>
                <w:b w:val="0"/>
                <w:bCs w:val="0"/>
                <w:i w:val="0"/>
                <w:iCs w:val="0"/>
                <w:color w:val="111111"/>
                <w:sz w:val="15"/>
                <w:szCs w:val="15"/>
                <w:rtl w:val="0"/>
              </w:rPr>
              <w:t xml:space="preserve">Not authorized now; future approval required</w:t>
            </w:r>
            <w:r>
              <w:rPr>
                <w:rtl w:val="0"/>
              </w:rPr>
            </w:r>
          </w:p>
        </w:tc>
        <w:tc>
          <w:tcPr>
            <w:tcBorders>
              <w:top w:color="e6e6e6" w:space="0" w:sz="4" w:val="single"/>
              <w:bottom w:color="e6e6e6" w:space="0" w:sz="4" w:val="single"/>
            </w:tcBorders>
            <w:shd w:fill="ffffff" w:val="clear"/>
            <w:tcMar>
              <w:top w:w="100.0" w:type="dxa"/>
              <w:bottom w:w="100.0" w:type="dxa"/>
            </w:tcMar>
            <w:vAlign w:val="center"/>
          </w:tcPr>
          <w:p w14:paraId="000000E5">
            <w:pPr>
              <w:keepNext w:val="0"/>
              <w:spacing w:after="0" w:before="0" w:line="240" w:lineRule="auto"/>
              <w:jc w:val="left"/>
              <w:rPr/>
            </w:pPr>
            <w:r>
              <w:rPr>
                <w:rFonts w:ascii="Arial" w:cs="Arial" w:eastAsia="Arial" w:hAnsi="Arial"/>
                <w:b w:val="0"/>
                <w:bCs w:val="0"/>
                <w:i w:val="0"/>
                <w:iCs w:val="0"/>
                <w:color w:val="111111"/>
                <w:sz w:val="15"/>
                <w:szCs w:val="15"/>
                <w:rtl w:val="0"/>
              </w:rPr>
              <w:t xml:space="preserve">[Milestone]</w:t>
            </w:r>
            <w:r>
              <w:rPr>
                <w:rtl w:val="0"/>
              </w:rPr>
            </w:r>
          </w:p>
        </w:tc>
        <w:tc>
          <w:tcPr>
            <w:tcBorders>
              <w:top w:color="e6e6e6" w:space="0" w:sz="4" w:val="single"/>
              <w:bottom w:color="e6e6e6" w:space="0" w:sz="4" w:val="single"/>
            </w:tcBorders>
            <w:shd w:fill="ffffff" w:val="clear"/>
            <w:tcMar>
              <w:top w:w="100.0" w:type="dxa"/>
              <w:bottom w:w="100.0" w:type="dxa"/>
            </w:tcMar>
            <w:vAlign w:val="center"/>
          </w:tcPr>
          <w:p w14:paraId="000000E6">
            <w:pPr>
              <w:keepNext w:val="0"/>
              <w:spacing w:after="0" w:before="0" w:line="240" w:lineRule="auto"/>
              <w:jc w:val="left"/>
              <w:rPr/>
            </w:pPr>
            <w:r>
              <w:rPr>
                <w:rFonts w:ascii="Arial" w:cs="Arial" w:eastAsia="Arial" w:hAnsi="Arial"/>
                <w:b w:val="0"/>
                <w:bCs w:val="0"/>
                <w:i w:val="0"/>
                <w:iCs w:val="0"/>
                <w:color w:val="111111"/>
                <w:sz w:val="15"/>
                <w:szCs w:val="15"/>
                <w:rtl w:val="0"/>
              </w:rPr>
              <w:t xml:space="preserve">[Conditions]</w:t>
            </w:r>
            <w:r>
              <w:rPr>
                <w:rtl w:val="0"/>
              </w:rPr>
            </w:r>
          </w:p>
        </w:tc>
      </w:tr>
      <w:tr>
        <w:trPr>
          <w:cantSplit w:val="1"/>
          <w:trHeight w:val="440" w:hRule="atLeast"/>
          <w:tblHeader w:val="0"/>
        </w:trPr>
        <w:tc>
          <w:tcPr>
            <w:tcBorders>
              <w:top w:color="e6e6e6" w:space="0" w:sz="4" w:val="single"/>
              <w:bottom w:color="e6e6e6" w:space="0" w:sz="4" w:val="single"/>
            </w:tcBorders>
            <w:shd w:fill="111111" w:val="clear"/>
            <w:tcMar>
              <w:top w:w="100.0" w:type="dxa"/>
              <w:bottom w:w="100.0" w:type="dxa"/>
            </w:tcMar>
            <w:vAlign w:val="center"/>
          </w:tcPr>
          <w:p w14:paraId="000000E7">
            <w:pPr>
              <w:keepNext w:val="0"/>
              <w:spacing w:after="0" w:before="0" w:line="240" w:lineRule="auto"/>
              <w:jc w:val="left"/>
              <w:rPr/>
            </w:pPr>
            <w:r>
              <w:rPr>
                <w:rFonts w:ascii="Arial" w:cs="Arial" w:eastAsia="Arial" w:hAnsi="Arial"/>
                <w:b w:val="1"/>
                <w:bCs w:val="1"/>
                <w:i w:val="0"/>
                <w:iCs w:val="0"/>
                <w:color w:val="ffffff"/>
                <w:sz w:val="15"/>
                <w:szCs w:val="15"/>
                <w:rtl w:val="0"/>
              </w:rPr>
              <w:t xml:space="preserve">Total potential exposure</w:t>
            </w:r>
            <w:r>
              <w:rPr>
                <w:rtl w:val="0"/>
              </w:rPr>
            </w:r>
          </w:p>
        </w:tc>
        <w:tc>
          <w:tcPr>
            <w:tcBorders>
              <w:top w:color="e6e6e6" w:space="0" w:sz="4" w:val="single"/>
              <w:bottom w:color="e6e6e6" w:space="0" w:sz="4" w:val="single"/>
            </w:tcBorders>
            <w:shd w:fill="111111" w:val="clear"/>
            <w:tcMar>
              <w:top w:w="100.0" w:type="dxa"/>
              <w:bottom w:w="100.0" w:type="dxa"/>
            </w:tcMar>
            <w:vAlign w:val="center"/>
          </w:tcPr>
          <w:p w14:paraId="000000E8">
            <w:pPr>
              <w:keepNext w:val="0"/>
              <w:spacing w:after="0" w:before="0" w:line="240" w:lineRule="auto"/>
              <w:jc w:val="right"/>
              <w:rPr/>
            </w:pPr>
            <w:r>
              <w:rPr>
                <w:rFonts w:ascii="Arial" w:cs="Arial" w:eastAsia="Arial" w:hAnsi="Arial"/>
                <w:b w:val="1"/>
                <w:bCs w:val="1"/>
                <w:i w:val="0"/>
                <w:iCs w:val="0"/>
                <w:color w:val="ffffff"/>
                <w:sz w:val="15"/>
                <w:szCs w:val="15"/>
                <w:rtl w:val="0"/>
              </w:rPr>
              <w:t xml:space="preserve">[Total]</w:t>
            </w:r>
            <w:r>
              <w:rPr>
                <w:rtl w:val="0"/>
              </w:rPr>
            </w:r>
          </w:p>
        </w:tc>
        <w:tc>
          <w:tcPr>
            <w:tcBorders>
              <w:top w:color="e6e6e6" w:space="0" w:sz="4" w:val="single"/>
              <w:bottom w:color="e6e6e6" w:space="0" w:sz="4" w:val="single"/>
            </w:tcBorders>
            <w:shd w:fill="111111" w:val="clear"/>
            <w:tcMar>
              <w:top w:w="100.0" w:type="dxa"/>
              <w:bottom w:w="100.0" w:type="dxa"/>
            </w:tcMar>
            <w:vAlign w:val="center"/>
          </w:tcPr>
          <w:p w14:paraId="000000E9">
            <w:pPr>
              <w:keepNext w:val="0"/>
              <w:spacing w:after="0" w:before="0" w:line="240" w:lineRule="auto"/>
              <w:jc w:val="left"/>
              <w:rPr/>
            </w:pPr>
            <w:r>
              <w:rPr>
                <w:rFonts w:ascii="Arial" w:cs="Arial" w:eastAsia="Arial" w:hAnsi="Arial"/>
                <w:b w:val="1"/>
                <w:bCs w:val="1"/>
                <w:i w:val="0"/>
                <w:iCs w:val="0"/>
                <w:color w:val="ffffff"/>
                <w:sz w:val="15"/>
                <w:szCs w:val="15"/>
                <w:rtl w:val="0"/>
              </w:rPr>
              <w:t xml:space="preserve">Exposure summary; not a single authorization</w:t>
            </w:r>
            <w:r>
              <w:rPr>
                <w:rtl w:val="0"/>
              </w:rPr>
            </w:r>
          </w:p>
        </w:tc>
        <w:tc>
          <w:tcPr>
            <w:tcBorders>
              <w:top w:color="e6e6e6" w:space="0" w:sz="4" w:val="single"/>
              <w:bottom w:color="e6e6e6" w:space="0" w:sz="4" w:val="single"/>
            </w:tcBorders>
            <w:shd w:fill="111111" w:val="clear"/>
            <w:tcMar>
              <w:top w:w="100.0" w:type="dxa"/>
              <w:bottom w:w="100.0" w:type="dxa"/>
            </w:tcMar>
            <w:vAlign w:val="center"/>
          </w:tcPr>
          <w:p w14:paraId="000000EA">
            <w:pPr>
              <w:keepNext w:val="0"/>
              <w:spacing w:after="0" w:before="0" w:line="240" w:lineRule="auto"/>
              <w:jc w:val="left"/>
              <w:rPr/>
            </w:pPr>
            <w:r>
              <w:rPr>
                <w:rFonts w:ascii="Arial" w:cs="Arial" w:eastAsia="Arial" w:hAnsi="Arial"/>
                <w:b w:val="1"/>
                <w:bCs w:val="1"/>
                <w:i w:val="0"/>
                <w:iCs w:val="0"/>
                <w:color w:val="ffffff"/>
                <w:sz w:val="15"/>
                <w:szCs w:val="15"/>
                <w:rtl w:val="0"/>
              </w:rPr>
              <w:t xml:space="preserve">[Horizon]</w:t>
            </w:r>
            <w:r>
              <w:rPr>
                <w:rtl w:val="0"/>
              </w:rPr>
            </w:r>
          </w:p>
        </w:tc>
        <w:tc>
          <w:tcPr>
            <w:tcBorders>
              <w:top w:color="e6e6e6" w:space="0" w:sz="4" w:val="single"/>
              <w:bottom w:color="e6e6e6" w:space="0" w:sz="4" w:val="single"/>
            </w:tcBorders>
            <w:shd w:fill="111111" w:val="clear"/>
            <w:tcMar>
              <w:top w:w="100.0" w:type="dxa"/>
              <w:bottom w:w="100.0" w:type="dxa"/>
            </w:tcMar>
            <w:vAlign w:val="center"/>
          </w:tcPr>
          <w:p w14:paraId="000000EB">
            <w:pPr>
              <w:keepNext w:val="0"/>
              <w:spacing w:after="0" w:before="0" w:line="240" w:lineRule="auto"/>
              <w:jc w:val="left"/>
              <w:rPr/>
            </w:pPr>
            <w:r>
              <w:rPr>
                <w:rFonts w:ascii="Arial" w:cs="Arial" w:eastAsia="Arial" w:hAnsi="Arial"/>
                <w:b w:val="1"/>
                <w:bCs w:val="1"/>
                <w:i w:val="0"/>
                <w:iCs w:val="0"/>
                <w:color w:val="ffffff"/>
                <w:sz w:val="15"/>
                <w:szCs w:val="15"/>
                <w:rtl w:val="0"/>
              </w:rPr>
              <w:t xml:space="preserve">[Reconcile to cover / scenarios]</w:t>
            </w:r>
            <w:r>
              <w:rPr>
                <w:rtl w:val="0"/>
              </w:rPr>
            </w:r>
          </w:p>
        </w:tc>
      </w:tr>
    </w:tbl>
    <w:p w14:paraId="000000EC">
      <w:pPr>
        <w:keepNext w:val="0"/>
        <w:pageBreakBefore w:val="0"/>
        <w:spacing w:after="20" w:before="0" w:line="240" w:lineRule="auto"/>
        <w:rPr/>
      </w:pPr>
      <w:r>
        <w:rPr>
          <w:rtl w:val="0"/>
        </w:rPr>
      </w:r>
    </w:p>
    <w:p w14:paraId="000000ED">
      <w:pPr>
        <w:pStyle w:val="Heading1"/>
        <w:keepNext w:val="1"/>
        <w:pageBreakBefore w:val="1"/>
        <w:spacing w:after="200" w:before="320" w:line="240" w:lineRule="auto"/>
        <w:rPr/>
      </w:pPr>
      <w:r>
        <w:rPr>
          <w:rFonts w:ascii="Arial" w:cs="Arial" w:eastAsia="Arial" w:hAnsi="Arial"/>
          <w:b w:val="1"/>
          <w:bCs w:val="1"/>
          <w:i w:val="0"/>
          <w:iCs w:val="0"/>
          <w:color w:val="111111"/>
          <w:sz w:val="22"/>
          <w:szCs w:val="22"/>
          <w:rtl w:val="0"/>
        </w:rPr>
        <w:t xml:space="preserve">13.   Key Risks, Diligence Items, and What Needs to Be True</w:t>
      </w:r>
      <w:r>
        <w:rPr>
          <w:rtl w:val="0"/>
        </w:rPr>
      </w:r>
    </w:p>
    <w:p w14:paraId="000000EE">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[Risk 1: short title]</w:t>
      </w:r>
      <w:r>
        <w:rPr>
          <w:rtl w:val="0"/>
        </w:rPr>
      </w:r>
    </w:p>
    <w:p w14:paraId="000000EF">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[Describe the risk or condition, evidence and source, magnitude and timing of effect, and what must be true for the case to remain intact. State remaining diligence or mitigation, owner, status, due date, and whether the item is a blocker, approval condition, or monitoring item.]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F0">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[Risk 2: short title]</w:t>
      </w:r>
      <w:r>
        <w:rPr>
          <w:rtl w:val="0"/>
        </w:rPr>
      </w:r>
    </w:p>
    <w:p w14:paraId="000000F1">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[Describe the risk or condition, evidence and source, magnitude and timing of effect, and what must be true for the case to remain intact. State remaining diligence or mitigation, owner, status, due date, and whether the item is a blocker, approval condition, or monitoring item.]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F2">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[Risk 3: short title]</w:t>
      </w:r>
      <w:r>
        <w:rPr>
          <w:rtl w:val="0"/>
        </w:rPr>
      </w:r>
    </w:p>
    <w:p w14:paraId="000000F3">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[Describe the risk or condition, evidence and source, magnitude and timing of effect, and what must be true for the case to remain intact. State remaining diligence or mitigation, owner, status, due date, and whether the item is a blocker, approval condition, or monitoring item.] Lorem ipsum dolor sit amet, consectetur adipiscing elit. Sed do eiusmod tempor incididunt ut labore et dolore magna aliqua. Ut enim ad minim veniam, quis nostrud exercitation ullamco laboris nisi ut aliquip ex ea commodo consequat.</w:t>
      </w:r>
      <w:r>
        <w:rPr>
          <w:rtl w:val="0"/>
        </w:rPr>
      </w:r>
    </w:p>
    <w:p w14:paraId="000000F4">
      <w:pPr>
        <w:pStyle w:val="Heading2"/>
        <w:keepNext w:val="1"/>
        <w:pageBreakBefore w:val="0"/>
        <w:spacing w:after="80" w:before="140" w:line="240" w:lineRule="auto"/>
        <w:rPr/>
      </w:pPr>
      <w:r>
        <w:rPr>
          <w:rFonts w:ascii="Arial" w:cs="Arial" w:eastAsia="Arial" w:hAnsi="Arial"/>
          <w:b w:val="1"/>
          <w:bCs w:val="1"/>
          <w:i w:val="0"/>
          <w:iCs w:val="0"/>
          <w:color w:val="111111"/>
          <w:sz w:val="18"/>
          <w:szCs w:val="18"/>
          <w:rtl w:val="0"/>
        </w:rPr>
        <w:t xml:space="preserve">Decision blockers and conditions to approval</w:t>
      </w:r>
      <w:r>
        <w:rPr>
          <w:rtl w:val="0"/>
        </w:rPr>
      </w:r>
    </w:p>
    <w:p w14:paraId="000000F5">
      <w:pPr>
        <w:keepNext w:val="0"/>
        <w:keepLines w:val="1"/>
        <w:pageBreakBefore w:val="0"/>
        <w:spacing w:after="180" w:before="0" w:line="240" w:lineRule="auto"/>
        <w:rPr/>
      </w:pPr>
      <w:r>
        <w:rPr>
          <w:rFonts w:ascii="Arial" w:cs="Arial" w:eastAsia="Arial" w:hAnsi="Arial"/>
          <w:b w:val="0"/>
          <w:bCs w:val="0"/>
          <w:i w:val="0"/>
          <w:iCs w:val="0"/>
          <w:color w:val="111111"/>
          <w:sz w:val="18"/>
          <w:szCs w:val="18"/>
          <w:rtl w:val="0"/>
        </w:rPr>
        <w:t xml:space="preserve">[State the unresolved items that must be completed, waived, or explicitly accepted before approval or funding. If none remain, state 'None'.] Lorem ipsum dolor sit amet, consectetur adipiscing elit. Sed do eiusmod tempor incididunt ut labore et dolore magna aliqua. Ut enim ad minim veniam, quis nostrud exercitation ullamco laboris nisi ut aliquip ex ea commodo consequat.</w:t>
      </w:r>
      <w:r>
        <w:rPr>
          <w:rtl w:val="0"/>
        </w:rPr>
      </w:r>
    </w:p>
    <w:sectPr>
      <w:headerReference r:id="rId13" w:type="default"/>
      <w:foot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14:paraId="000000F7">
    <w:pPr>
      <w:tabs>
        <w:tab w:val="right" w:leader="none" w:pos="9214"/>
      </w:tabs>
      <w:rPr>
        <w:color w:val="999999"/>
        <w:sz w:val="18"/>
        <w:szCs w:val="18"/>
      </w:rPr>
    </w:pPr>
    <w:r>
      <w:rPr>
        <w:color w:val="999999"/>
        <w:sz w:val="18"/>
        <w:szCs w:val="18"/>
        <w:rtl w:val="0"/>
      </w:rPr>
      <w:t xml:space="preserve">Confidential - Internal Use Only · [Company / Project Name]</w:t>
      <w:tab/>
    </w:r>
    <w:r>
      <w:rPr>
        <w:color w:val="999999"/>
        <w:sz w:val="18"/>
        <w:szCs w:val="18"/>
      </w:rPr>
      <w:fldChar w:fldCharType="begin"/>
      <w:instrText xml:space="preserve">PAGE</w:instrText>
      <w:fldChar w:fldCharType="separate"/>
      <w:fldChar w:fldCharType="end"/>
    </w:r>
    <w:r>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14:paraId="000000F6">
    <w:pPr>
      <w:jc w:val="right"/>
      <w:rPr>
        <w:color w:val="999999"/>
        <w:sz w:val="24"/>
        <w:szCs w:val="24"/>
      </w:rPr>
    </w:pPr>
    <w:r>
      <w:rPr>
        <w:color w:val="999999"/>
        <w:sz w:val="18"/>
        <w:szCs w:val="18"/>
        <w:rtl w:val="0"/>
      </w:rPr>
      <w:t xml:space="preserve">Investment Committee Memo  ·  Month YYYY</w:t>
    </w: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5.png"/><Relationship Id="rId13" Type="http://schemas.openxmlformats.org/officeDocument/2006/relationships/header" Target="header1.xm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4" Type="http://schemas.openxmlformats.org/officeDocument/2006/relationships/footer" Target="footer1.xml"/><Relationship Id="rId5" Type="http://schemas.openxmlformats.org/officeDocument/2006/relationships/styles" Target="styles.xml"/><Relationship Id="rId7" Type="http://schemas.openxmlformats.org/officeDocument/2006/relationships/image" Target="media/image6.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